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A6489" w14:textId="69AEF922" w:rsidR="00931414" w:rsidRPr="00004C80" w:rsidRDefault="00931414" w:rsidP="00931414">
      <w:pPr>
        <w:jc w:val="center"/>
        <w:rPr>
          <w:rFonts w:ascii="Bookman Old Style" w:hAnsi="Bookman Old Style"/>
          <w:b/>
          <w:bCs/>
          <w:sz w:val="22"/>
          <w:szCs w:val="22"/>
        </w:rPr>
      </w:pPr>
      <w:r w:rsidRPr="00004C80">
        <w:rPr>
          <w:rFonts w:ascii="Bookman Old Style" w:hAnsi="Bookman Old Style"/>
          <w:b/>
          <w:bCs/>
          <w:sz w:val="22"/>
          <w:szCs w:val="22"/>
        </w:rPr>
        <w:t>RESOLUCIÓN N° 01/202</w:t>
      </w:r>
      <w:r>
        <w:rPr>
          <w:rFonts w:ascii="Bookman Old Style" w:hAnsi="Bookman Old Style"/>
          <w:b/>
          <w:bCs/>
          <w:sz w:val="22"/>
          <w:szCs w:val="22"/>
        </w:rPr>
        <w:t>5</w:t>
      </w:r>
    </w:p>
    <w:p w14:paraId="1D5FC0B3" w14:textId="77777777" w:rsidR="00931414" w:rsidRPr="00004C80" w:rsidRDefault="00931414" w:rsidP="00931414">
      <w:pPr>
        <w:rPr>
          <w:rFonts w:ascii="Bookman Old Style" w:hAnsi="Bookman Old Style"/>
          <w:sz w:val="22"/>
          <w:szCs w:val="22"/>
        </w:rPr>
      </w:pPr>
    </w:p>
    <w:p w14:paraId="7D706033" w14:textId="7C0FAB96" w:rsidR="00931414" w:rsidRPr="00004C80" w:rsidRDefault="00931414" w:rsidP="00931414">
      <w:pPr>
        <w:ind w:left="4956"/>
        <w:jc w:val="both"/>
        <w:rPr>
          <w:rFonts w:ascii="Bookman Old Style" w:hAnsi="Bookman Old Style"/>
          <w:sz w:val="22"/>
          <w:szCs w:val="22"/>
        </w:rPr>
      </w:pPr>
      <w:r w:rsidRPr="00004C80">
        <w:rPr>
          <w:rFonts w:ascii="Bookman Old Style" w:hAnsi="Bookman Old Style"/>
          <w:b/>
          <w:bCs/>
          <w:sz w:val="22"/>
          <w:szCs w:val="22"/>
        </w:rPr>
        <w:t>R</w:t>
      </w:r>
      <w:r w:rsidRPr="009C18C4">
        <w:rPr>
          <w:rFonts w:ascii="Bookman Old Style" w:hAnsi="Bookman Old Style"/>
          <w:b/>
          <w:bCs/>
          <w:sz w:val="22"/>
          <w:szCs w:val="22"/>
        </w:rPr>
        <w:t>ef.</w:t>
      </w:r>
      <w:r w:rsidRPr="009C18C4">
        <w:rPr>
          <w:rFonts w:ascii="Bookman Old Style" w:hAnsi="Bookman Old Style"/>
          <w:sz w:val="22"/>
          <w:szCs w:val="22"/>
        </w:rPr>
        <w:t xml:space="preserve">: </w:t>
      </w:r>
      <w:r w:rsidR="00DE16AF" w:rsidRPr="009C18C4">
        <w:rPr>
          <w:rFonts w:ascii="Bookman Old Style" w:hAnsi="Bookman Old Style" w:cs="Tahoma"/>
          <w:b/>
          <w:sz w:val="22"/>
          <w:szCs w:val="22"/>
        </w:rPr>
        <w:t xml:space="preserve">Actualización de </w:t>
      </w:r>
      <w:r w:rsidR="00D12B71" w:rsidRPr="009C18C4">
        <w:rPr>
          <w:rFonts w:ascii="Bookman Old Style" w:hAnsi="Bookman Old Style" w:cs="Tahoma"/>
          <w:b/>
          <w:sz w:val="22"/>
          <w:szCs w:val="22"/>
        </w:rPr>
        <w:t xml:space="preserve">los instrumentos normativos del Sistema de Planificación </w:t>
      </w:r>
      <w:r w:rsidR="00DE16AF" w:rsidRPr="009C18C4">
        <w:rPr>
          <w:rFonts w:ascii="Bookman Old Style" w:hAnsi="Bookman Old Style" w:cs="Tahoma"/>
          <w:b/>
          <w:sz w:val="22"/>
          <w:szCs w:val="22"/>
        </w:rPr>
        <w:t xml:space="preserve">Integral </w:t>
      </w:r>
      <w:r w:rsidR="00D12B71" w:rsidRPr="009C18C4">
        <w:rPr>
          <w:rFonts w:ascii="Bookman Old Style" w:hAnsi="Bookman Old Style" w:cs="Tahoma"/>
          <w:b/>
          <w:sz w:val="22"/>
          <w:szCs w:val="22"/>
        </w:rPr>
        <w:t>del SUB</w:t>
      </w:r>
      <w:r w:rsidRPr="009C18C4">
        <w:rPr>
          <w:rFonts w:ascii="Bookman Old Style" w:hAnsi="Bookman Old Style" w:cs="Tahoma"/>
          <w:b/>
          <w:sz w:val="22"/>
          <w:szCs w:val="22"/>
        </w:rPr>
        <w:t>.</w:t>
      </w:r>
    </w:p>
    <w:p w14:paraId="5B27882D" w14:textId="77777777" w:rsidR="00931414" w:rsidRPr="00004C80" w:rsidRDefault="00931414" w:rsidP="00931414">
      <w:pPr>
        <w:ind w:left="4956"/>
        <w:jc w:val="both"/>
        <w:rPr>
          <w:rFonts w:ascii="Bookman Old Style" w:hAnsi="Bookman Old Style"/>
          <w:sz w:val="22"/>
          <w:szCs w:val="22"/>
        </w:rPr>
      </w:pPr>
    </w:p>
    <w:p w14:paraId="16A005BC" w14:textId="77777777" w:rsidR="00931414" w:rsidRPr="00004C80" w:rsidRDefault="00931414" w:rsidP="00931414">
      <w:pPr>
        <w:rPr>
          <w:rFonts w:ascii="Bookman Old Style" w:hAnsi="Bookman Old Style"/>
          <w:b/>
          <w:sz w:val="22"/>
          <w:szCs w:val="22"/>
          <w:lang w:val="es-MX"/>
        </w:rPr>
      </w:pPr>
      <w:r w:rsidRPr="00004C80">
        <w:rPr>
          <w:rFonts w:ascii="Bookman Old Style" w:hAnsi="Bookman Old Style"/>
          <w:b/>
          <w:sz w:val="22"/>
          <w:szCs w:val="22"/>
          <w:lang w:val="es-MX"/>
        </w:rPr>
        <w:t>VISTOS:</w:t>
      </w:r>
    </w:p>
    <w:p w14:paraId="1408B98B" w14:textId="77777777" w:rsidR="00931414" w:rsidRPr="00004C80" w:rsidRDefault="00931414" w:rsidP="00931414">
      <w:pPr>
        <w:rPr>
          <w:rFonts w:ascii="Bookman Old Style" w:hAnsi="Bookman Old Style"/>
          <w:b/>
          <w:sz w:val="22"/>
          <w:szCs w:val="22"/>
          <w:lang w:val="es-MX"/>
        </w:rPr>
      </w:pPr>
    </w:p>
    <w:p w14:paraId="01860732" w14:textId="695BEFDB" w:rsidR="00931414" w:rsidRDefault="00931414" w:rsidP="00931414">
      <w:pPr>
        <w:spacing w:line="0" w:lineRule="atLeast"/>
        <w:rPr>
          <w:rFonts w:ascii="Bookman Old Style" w:hAnsi="Bookman Old Style"/>
          <w:bCs/>
          <w:sz w:val="22"/>
          <w:szCs w:val="22"/>
          <w:lang w:val="es-MX"/>
        </w:rPr>
      </w:pPr>
      <w:r w:rsidRPr="00FF7089">
        <w:rPr>
          <w:rFonts w:ascii="Bookman Old Style" w:hAnsi="Bookman Old Style"/>
          <w:bCs/>
          <w:sz w:val="22"/>
          <w:szCs w:val="22"/>
          <w:lang w:val="es-MX"/>
        </w:rPr>
        <w:t xml:space="preserve">Constitución Política del Estado </w:t>
      </w:r>
    </w:p>
    <w:p w14:paraId="79C8E5E4" w14:textId="77777777" w:rsidR="00D12B71" w:rsidRDefault="00D12B71" w:rsidP="00931414">
      <w:pPr>
        <w:spacing w:line="0" w:lineRule="atLeast"/>
        <w:rPr>
          <w:rFonts w:ascii="Bookman Old Style" w:hAnsi="Bookman Old Style"/>
          <w:bCs/>
          <w:sz w:val="22"/>
          <w:szCs w:val="22"/>
          <w:lang w:val="es-MX"/>
        </w:rPr>
      </w:pPr>
      <w:r>
        <w:rPr>
          <w:rFonts w:ascii="Bookman Old Style" w:hAnsi="Bookman Old Style"/>
          <w:bCs/>
          <w:sz w:val="22"/>
          <w:szCs w:val="22"/>
          <w:lang w:val="es-MX"/>
        </w:rPr>
        <w:t>Estatuto Orgánico del SUB</w:t>
      </w:r>
    </w:p>
    <w:p w14:paraId="44544831" w14:textId="7CBBE7A0" w:rsidR="00D12B71" w:rsidRDefault="00D12B71" w:rsidP="00931414">
      <w:pPr>
        <w:spacing w:line="0" w:lineRule="atLeast"/>
        <w:rPr>
          <w:rFonts w:ascii="Bookman Old Style" w:hAnsi="Bookman Old Style"/>
          <w:bCs/>
          <w:sz w:val="22"/>
          <w:szCs w:val="22"/>
          <w:lang w:val="es-MX"/>
        </w:rPr>
      </w:pPr>
      <w:r>
        <w:rPr>
          <w:rFonts w:ascii="Bookman Old Style" w:hAnsi="Bookman Old Style"/>
          <w:bCs/>
          <w:sz w:val="22"/>
          <w:szCs w:val="22"/>
          <w:lang w:val="es-MX"/>
        </w:rPr>
        <w:t>IX RENADI</w:t>
      </w:r>
    </w:p>
    <w:p w14:paraId="070D843F" w14:textId="2B284E65" w:rsidR="00D12B71" w:rsidRPr="00D12B71" w:rsidRDefault="00D12B71" w:rsidP="00931414">
      <w:pPr>
        <w:spacing w:line="0" w:lineRule="atLeast"/>
        <w:rPr>
          <w:rFonts w:ascii="Bookman Old Style" w:hAnsi="Bookman Old Style"/>
          <w:bCs/>
          <w:sz w:val="22"/>
          <w:szCs w:val="22"/>
          <w:lang w:val="es-MX"/>
        </w:rPr>
      </w:pPr>
      <w:r>
        <w:rPr>
          <w:rFonts w:ascii="Bookman Old Style" w:hAnsi="Bookman Old Style"/>
          <w:bCs/>
          <w:sz w:val="22"/>
          <w:szCs w:val="22"/>
          <w:lang w:val="es-MX"/>
        </w:rPr>
        <w:t xml:space="preserve"> </w:t>
      </w:r>
    </w:p>
    <w:p w14:paraId="0DCEB886" w14:textId="77777777" w:rsidR="00931414" w:rsidRPr="00004C80" w:rsidRDefault="00931414" w:rsidP="00931414">
      <w:pPr>
        <w:spacing w:line="0" w:lineRule="atLeast"/>
        <w:rPr>
          <w:rFonts w:ascii="Bookman Old Style" w:hAnsi="Bookman Old Style"/>
          <w:b/>
          <w:sz w:val="22"/>
          <w:szCs w:val="22"/>
          <w:lang w:val="es-MX"/>
        </w:rPr>
      </w:pPr>
      <w:r w:rsidRPr="00004C80">
        <w:rPr>
          <w:rFonts w:ascii="Bookman Old Style" w:hAnsi="Bookman Old Style"/>
          <w:b/>
          <w:sz w:val="22"/>
          <w:szCs w:val="22"/>
          <w:lang w:val="es-MX"/>
        </w:rPr>
        <w:t>CONSIDERANDOS:</w:t>
      </w:r>
    </w:p>
    <w:p w14:paraId="4E89985D" w14:textId="77777777" w:rsidR="00931414" w:rsidRPr="00004C80" w:rsidRDefault="00931414" w:rsidP="00931414">
      <w:pPr>
        <w:spacing w:line="0" w:lineRule="atLeast"/>
        <w:rPr>
          <w:rFonts w:ascii="Bookman Old Style" w:hAnsi="Bookman Old Style"/>
          <w:b/>
          <w:sz w:val="22"/>
          <w:szCs w:val="22"/>
          <w:lang w:val="es-MX"/>
        </w:rPr>
      </w:pPr>
    </w:p>
    <w:p w14:paraId="0E281BD1" w14:textId="6440E2B0" w:rsidR="00F65835" w:rsidRDefault="00AF06DE" w:rsidP="00AF06DE">
      <w:pPr>
        <w:widowControl w:val="0"/>
        <w:tabs>
          <w:tab w:val="left" w:pos="-720"/>
        </w:tabs>
        <w:suppressAutoHyphens/>
        <w:autoSpaceDE w:val="0"/>
        <w:autoSpaceDN w:val="0"/>
        <w:adjustRightInd w:val="0"/>
        <w:spacing w:line="276" w:lineRule="auto"/>
        <w:jc w:val="both"/>
        <w:rPr>
          <w:rFonts w:ascii="Bookman Old Style" w:eastAsia="Times New Roman" w:hAnsi="Bookman Old Style" w:cs="Tahoma"/>
          <w:i/>
          <w:spacing w:val="-3"/>
          <w:sz w:val="22"/>
          <w:szCs w:val="22"/>
          <w:lang w:val="es-ES_tradnl" w:eastAsia="es-ES"/>
        </w:rPr>
      </w:pPr>
      <w:r w:rsidRPr="00AF06DE">
        <w:rPr>
          <w:rFonts w:ascii="Bookman Old Style" w:eastAsia="Times New Roman" w:hAnsi="Bookman Old Style" w:cs="Tahoma"/>
          <w:spacing w:val="-3"/>
          <w:sz w:val="22"/>
          <w:szCs w:val="22"/>
          <w:lang w:val="es-ES_tradnl" w:eastAsia="es-ES"/>
        </w:rPr>
        <w:t xml:space="preserve">Que, los Parágrafos I y II del Artículo 92 de la Constitución Política del </w:t>
      </w:r>
      <w:r w:rsidRPr="009C18C4">
        <w:rPr>
          <w:rFonts w:ascii="Bookman Old Style" w:eastAsia="Times New Roman" w:hAnsi="Bookman Old Style" w:cs="Tahoma"/>
          <w:spacing w:val="-3"/>
          <w:sz w:val="22"/>
          <w:szCs w:val="22"/>
          <w:lang w:val="es-ES_tradnl" w:eastAsia="es-ES"/>
        </w:rPr>
        <w:t>Estado, establece</w:t>
      </w:r>
      <w:r w:rsidR="00DE16AF" w:rsidRPr="009C18C4">
        <w:rPr>
          <w:rFonts w:ascii="Bookman Old Style" w:eastAsia="Times New Roman" w:hAnsi="Bookman Old Style" w:cs="Tahoma"/>
          <w:spacing w:val="-3"/>
          <w:sz w:val="22"/>
          <w:szCs w:val="22"/>
          <w:lang w:val="es-ES_tradnl" w:eastAsia="es-ES"/>
        </w:rPr>
        <w:t>n</w:t>
      </w:r>
      <w:r w:rsidRPr="009C18C4">
        <w:rPr>
          <w:rFonts w:ascii="Bookman Old Style" w:eastAsia="Times New Roman" w:hAnsi="Bookman Old Style" w:cs="Tahoma"/>
          <w:spacing w:val="-3"/>
          <w:sz w:val="22"/>
          <w:szCs w:val="22"/>
          <w:lang w:val="es-ES_tradnl" w:eastAsia="es-ES"/>
        </w:rPr>
        <w:t xml:space="preserve">: </w:t>
      </w:r>
      <w:r w:rsidRPr="009C18C4">
        <w:rPr>
          <w:rFonts w:ascii="Bookman Old Style" w:eastAsia="Times New Roman" w:hAnsi="Bookman Old Style" w:cs="Tahoma"/>
          <w:i/>
          <w:spacing w:val="-3"/>
          <w:sz w:val="22"/>
          <w:szCs w:val="22"/>
          <w:lang w:val="es-ES_tradnl" w:eastAsia="es-ES"/>
        </w:rPr>
        <w:t>“</w:t>
      </w:r>
      <w:r w:rsidRPr="009C18C4">
        <w:rPr>
          <w:rFonts w:ascii="Bookman Old Style" w:eastAsia="Times New Roman" w:hAnsi="Bookman Old Style" w:cs="Tahoma"/>
          <w:i/>
          <w:spacing w:val="-3"/>
          <w:sz w:val="22"/>
          <w:szCs w:val="22"/>
          <w:lang w:val="es-ES" w:eastAsia="es-ES"/>
        </w:rPr>
        <w:t>Las universidades públicas son autónomas e iguales en jerarquía. La autonomía consiste en la libre administración de sus recursos; el nombramiento de sus autoridades,</w:t>
      </w:r>
      <w:r w:rsidRPr="00AF06DE">
        <w:rPr>
          <w:rFonts w:ascii="Bookman Old Style" w:eastAsia="Times New Roman" w:hAnsi="Bookman Old Style" w:cs="Tahoma"/>
          <w:i/>
          <w:spacing w:val="-3"/>
          <w:sz w:val="22"/>
          <w:szCs w:val="22"/>
          <w:lang w:val="es-ES" w:eastAsia="es-ES"/>
        </w:rPr>
        <w:t xml:space="preserve"> su personal docente y administrativo; la elaboración y aprobación de sus estatutos, planes de estudio y presupuestos anuales; y la aceptación de legados y donaciones, así como la celebración de contratos, para realizar sus fines y sostener y perfeccionar sus institutos y facultades. Las universidades públicas podrán negociar empréstitos con garantía de sus bienes y recursos, previa aprobación legislativa.”</w:t>
      </w:r>
      <w:r w:rsidRPr="00AF06DE">
        <w:rPr>
          <w:rFonts w:ascii="Bookman Old Style" w:eastAsia="Times New Roman" w:hAnsi="Bookman Old Style" w:cs="Tahoma"/>
          <w:spacing w:val="-3"/>
          <w:sz w:val="22"/>
          <w:szCs w:val="22"/>
          <w:lang w:val="es-ES" w:eastAsia="es-ES"/>
        </w:rPr>
        <w:t>.</w:t>
      </w:r>
      <w:r w:rsidRPr="00AF06DE">
        <w:rPr>
          <w:rFonts w:ascii="Bookman Old Style" w:eastAsia="Times New Roman" w:hAnsi="Bookman Old Style" w:cs="Tahoma"/>
          <w:spacing w:val="-3"/>
          <w:sz w:val="22"/>
          <w:szCs w:val="22"/>
          <w:lang w:val="es-ES_tradnl" w:eastAsia="es-ES"/>
        </w:rPr>
        <w:t xml:space="preserve"> </w:t>
      </w:r>
      <w:r w:rsidRPr="00AF06DE">
        <w:rPr>
          <w:rFonts w:ascii="Bookman Old Style" w:eastAsia="Times New Roman" w:hAnsi="Bookman Old Style" w:cs="Tahoma"/>
          <w:i/>
          <w:spacing w:val="-3"/>
          <w:sz w:val="22"/>
          <w:szCs w:val="22"/>
          <w:lang w:val="es-ES_tradnl" w:eastAsia="es-ES"/>
        </w:rPr>
        <w:t>“… (…)</w:t>
      </w:r>
    </w:p>
    <w:p w14:paraId="563A8AD1" w14:textId="090D2F8D" w:rsidR="00AF06DE" w:rsidRPr="00AF06DE" w:rsidRDefault="00AF06DE" w:rsidP="00AF06DE">
      <w:pPr>
        <w:widowControl w:val="0"/>
        <w:tabs>
          <w:tab w:val="left" w:pos="-720"/>
        </w:tabs>
        <w:suppressAutoHyphens/>
        <w:autoSpaceDE w:val="0"/>
        <w:autoSpaceDN w:val="0"/>
        <w:adjustRightInd w:val="0"/>
        <w:spacing w:line="276" w:lineRule="auto"/>
        <w:jc w:val="both"/>
        <w:rPr>
          <w:rFonts w:ascii="Bookman Old Style" w:eastAsia="Times New Roman" w:hAnsi="Bookman Old Style" w:cs="Tahoma"/>
          <w:spacing w:val="-3"/>
          <w:sz w:val="22"/>
          <w:szCs w:val="22"/>
          <w:lang w:val="es-ES_tradnl" w:eastAsia="es-ES"/>
        </w:rPr>
      </w:pPr>
      <w:r w:rsidRPr="00AF06DE">
        <w:rPr>
          <w:rFonts w:ascii="Bookman Old Style" w:eastAsia="Times New Roman" w:hAnsi="Bookman Old Style" w:cs="Tahoma"/>
          <w:i/>
          <w:spacing w:val="-3"/>
          <w:sz w:val="22"/>
          <w:szCs w:val="22"/>
          <w:lang w:val="es-ES_tradnl" w:eastAsia="es-ES"/>
        </w:rPr>
        <w:t>“…Las universidades públicas constituirán, en ejercicio de su autonomía, la Universidad Boliviana, que coordinará y programará sus fines y funciones mediante un organismo central, de acuerdo con un plan de desarrollo universitario…”</w:t>
      </w:r>
      <w:r w:rsidR="00F65835">
        <w:rPr>
          <w:rFonts w:ascii="Bookman Old Style" w:eastAsia="Times New Roman" w:hAnsi="Bookman Old Style" w:cs="Tahoma"/>
          <w:spacing w:val="-3"/>
          <w:sz w:val="22"/>
          <w:szCs w:val="22"/>
          <w:lang w:val="es-ES_tradnl" w:eastAsia="es-ES"/>
        </w:rPr>
        <w:t>.</w:t>
      </w:r>
    </w:p>
    <w:p w14:paraId="1EEC5017" w14:textId="77777777" w:rsidR="00AF06DE" w:rsidRPr="00AF06DE" w:rsidRDefault="00AF06DE" w:rsidP="00AF06DE">
      <w:pPr>
        <w:widowControl w:val="0"/>
        <w:tabs>
          <w:tab w:val="left" w:pos="-720"/>
        </w:tabs>
        <w:suppressAutoHyphens/>
        <w:autoSpaceDE w:val="0"/>
        <w:autoSpaceDN w:val="0"/>
        <w:adjustRightInd w:val="0"/>
        <w:spacing w:line="276" w:lineRule="auto"/>
        <w:jc w:val="both"/>
        <w:rPr>
          <w:rFonts w:ascii="Bookman Old Style" w:eastAsia="Times New Roman" w:hAnsi="Bookman Old Style" w:cs="Tahoma"/>
          <w:spacing w:val="-3"/>
          <w:sz w:val="22"/>
          <w:szCs w:val="22"/>
          <w:lang w:val="es-ES_tradnl" w:eastAsia="es-ES"/>
        </w:rPr>
      </w:pPr>
    </w:p>
    <w:p w14:paraId="3C5596B7" w14:textId="7A17F07A" w:rsidR="00AF06DE" w:rsidRPr="00AF06DE" w:rsidRDefault="00AF06DE" w:rsidP="00AF06DE">
      <w:pPr>
        <w:widowControl w:val="0"/>
        <w:tabs>
          <w:tab w:val="left" w:pos="-720"/>
        </w:tabs>
        <w:suppressAutoHyphens/>
        <w:autoSpaceDE w:val="0"/>
        <w:autoSpaceDN w:val="0"/>
        <w:adjustRightInd w:val="0"/>
        <w:spacing w:line="276" w:lineRule="auto"/>
        <w:jc w:val="both"/>
        <w:rPr>
          <w:rFonts w:ascii="Bookman Old Style" w:eastAsia="Times New Roman" w:hAnsi="Bookman Old Style" w:cs="Tahoma"/>
          <w:spacing w:val="-3"/>
          <w:sz w:val="22"/>
          <w:szCs w:val="22"/>
          <w:lang w:eastAsia="es-ES"/>
        </w:rPr>
      </w:pPr>
      <w:r w:rsidRPr="009C18C4">
        <w:rPr>
          <w:rFonts w:ascii="Bookman Old Style" w:eastAsia="Times New Roman" w:hAnsi="Bookman Old Style" w:cs="Tahoma"/>
          <w:spacing w:val="-3"/>
          <w:sz w:val="22"/>
          <w:szCs w:val="22"/>
          <w:lang w:val="es-ES" w:eastAsia="es-ES"/>
        </w:rPr>
        <w:t xml:space="preserve">Que, </w:t>
      </w:r>
      <w:r w:rsidR="00DE16AF" w:rsidRPr="009C18C4">
        <w:rPr>
          <w:rFonts w:ascii="Bookman Old Style" w:eastAsia="Times New Roman" w:hAnsi="Bookman Old Style" w:cs="Tahoma"/>
          <w:spacing w:val="-3"/>
          <w:sz w:val="22"/>
          <w:szCs w:val="22"/>
          <w:lang w:val="es-ES" w:eastAsia="es-ES"/>
        </w:rPr>
        <w:t xml:space="preserve">la </w:t>
      </w:r>
      <w:r w:rsidRPr="009C18C4">
        <w:rPr>
          <w:rFonts w:ascii="Bookman Old Style" w:eastAsia="Times New Roman" w:hAnsi="Bookman Old Style" w:cs="Tahoma"/>
          <w:spacing w:val="-3"/>
          <w:sz w:val="22"/>
          <w:szCs w:val="22"/>
          <w:lang w:val="es-ES" w:eastAsia="es-ES"/>
        </w:rPr>
        <w:t>Sentencia</w:t>
      </w:r>
      <w:r w:rsidRPr="00AF06DE">
        <w:rPr>
          <w:rFonts w:ascii="Bookman Old Style" w:eastAsia="Times New Roman" w:hAnsi="Bookman Old Style" w:cs="Tahoma"/>
          <w:spacing w:val="-3"/>
          <w:sz w:val="22"/>
          <w:szCs w:val="22"/>
          <w:lang w:val="es-ES" w:eastAsia="es-ES"/>
        </w:rPr>
        <w:t xml:space="preserve"> Constitucional Plurinacional Nº 01570/2014 del 11 de agosto de 2014, establece que: </w:t>
      </w:r>
      <w:proofErr w:type="gramStart"/>
      <w:r w:rsidRPr="00AF06DE">
        <w:rPr>
          <w:rFonts w:ascii="Bookman Old Style" w:eastAsia="Times New Roman" w:hAnsi="Bookman Old Style" w:cs="Tahoma"/>
          <w:i/>
          <w:spacing w:val="-3"/>
          <w:sz w:val="22"/>
          <w:szCs w:val="22"/>
          <w:lang w:val="es-ES" w:eastAsia="es-ES"/>
        </w:rPr>
        <w:t>“….</w:t>
      </w:r>
      <w:proofErr w:type="gramEnd"/>
      <w:r w:rsidRPr="00AF06DE">
        <w:rPr>
          <w:rFonts w:ascii="Bookman Old Style" w:eastAsia="Times New Roman" w:hAnsi="Bookman Old Style" w:cs="Tahoma"/>
          <w:i/>
          <w:spacing w:val="-3"/>
          <w:sz w:val="22"/>
          <w:szCs w:val="22"/>
          <w:lang w:val="es-ES" w:eastAsia="es-ES"/>
        </w:rPr>
        <w:t xml:space="preserve">.Identifica cuatro dimensiones de vigencia del régimen autonómico para la Universidad Pública boliviana, que son: a) Económico; b) Electoral; c) Normativo; y, d) De gestión ... </w:t>
      </w:r>
      <w:r w:rsidRPr="00AF06DE">
        <w:rPr>
          <w:rFonts w:ascii="Bookman Old Style" w:eastAsia="Times New Roman" w:hAnsi="Bookman Old Style" w:cs="Tahoma"/>
          <w:i/>
          <w:spacing w:val="-3"/>
          <w:sz w:val="22"/>
          <w:szCs w:val="22"/>
          <w:lang w:eastAsia="es-ES"/>
        </w:rPr>
        <w:t>".</w:t>
      </w:r>
    </w:p>
    <w:p w14:paraId="3A83BC27" w14:textId="77777777" w:rsidR="00AF06DE" w:rsidRPr="00AF06DE" w:rsidRDefault="00AF06DE" w:rsidP="00AF06DE">
      <w:pPr>
        <w:widowControl w:val="0"/>
        <w:tabs>
          <w:tab w:val="left" w:pos="-720"/>
        </w:tabs>
        <w:suppressAutoHyphens/>
        <w:autoSpaceDE w:val="0"/>
        <w:autoSpaceDN w:val="0"/>
        <w:adjustRightInd w:val="0"/>
        <w:spacing w:line="276" w:lineRule="auto"/>
        <w:jc w:val="both"/>
        <w:rPr>
          <w:rFonts w:ascii="Bookman Old Style" w:eastAsia="Times New Roman" w:hAnsi="Bookman Old Style" w:cs="Tahoma"/>
          <w:spacing w:val="-3"/>
          <w:sz w:val="22"/>
          <w:szCs w:val="22"/>
          <w:lang w:eastAsia="es-ES"/>
        </w:rPr>
      </w:pPr>
    </w:p>
    <w:p w14:paraId="6AD5FD8E" w14:textId="77777777" w:rsidR="00AF06DE" w:rsidRDefault="00AF06DE" w:rsidP="00AF06DE">
      <w:pPr>
        <w:widowControl w:val="0"/>
        <w:tabs>
          <w:tab w:val="left" w:pos="-720"/>
        </w:tabs>
        <w:suppressAutoHyphens/>
        <w:autoSpaceDE w:val="0"/>
        <w:autoSpaceDN w:val="0"/>
        <w:adjustRightInd w:val="0"/>
        <w:spacing w:line="276" w:lineRule="auto"/>
        <w:jc w:val="both"/>
        <w:rPr>
          <w:rFonts w:ascii="Bookman Old Style" w:eastAsia="Times New Roman" w:hAnsi="Bookman Old Style" w:cs="Tahoma"/>
          <w:spacing w:val="-3"/>
          <w:sz w:val="22"/>
          <w:szCs w:val="22"/>
          <w:lang w:val="es-ES" w:eastAsia="es-ES"/>
        </w:rPr>
      </w:pPr>
      <w:r w:rsidRPr="00AF06DE">
        <w:rPr>
          <w:rFonts w:ascii="Bookman Old Style" w:eastAsia="Times New Roman" w:hAnsi="Bookman Old Style" w:cs="Tahoma"/>
          <w:spacing w:val="-3"/>
          <w:sz w:val="22"/>
          <w:szCs w:val="22"/>
          <w:lang w:val="es-ES" w:eastAsia="es-ES"/>
        </w:rPr>
        <w:t xml:space="preserve">Que, </w:t>
      </w:r>
      <w:r w:rsidRPr="00AF06DE">
        <w:rPr>
          <w:rFonts w:ascii="Bookman Old Style" w:eastAsia="Times New Roman" w:hAnsi="Bookman Old Style" w:cs="Tahoma"/>
          <w:spacing w:val="-3"/>
          <w:sz w:val="22"/>
          <w:szCs w:val="22"/>
          <w:lang w:val="es-ES_tradnl" w:eastAsia="es-ES"/>
        </w:rPr>
        <w:t xml:space="preserve">el Estatuto Orgánico de la Universidad Boliviana, en su Artículo 4, establece que: </w:t>
      </w:r>
      <w:r w:rsidRPr="00AF06DE">
        <w:rPr>
          <w:rFonts w:ascii="Bookman Old Style" w:eastAsia="Times New Roman" w:hAnsi="Bookman Old Style" w:cs="Tahoma"/>
          <w:i/>
          <w:spacing w:val="-3"/>
          <w:sz w:val="22"/>
          <w:szCs w:val="22"/>
          <w:lang w:val="es-ES_tradnl" w:eastAsia="es-ES"/>
        </w:rPr>
        <w:t>“</w:t>
      </w:r>
      <w:r w:rsidRPr="00AF06DE">
        <w:rPr>
          <w:rFonts w:ascii="Bookman Old Style" w:eastAsia="Times New Roman" w:hAnsi="Bookman Old Style" w:cs="Tahoma"/>
          <w:i/>
          <w:spacing w:val="-3"/>
          <w:sz w:val="22"/>
          <w:szCs w:val="22"/>
          <w:lang w:val="es-ES" w:eastAsia="es-ES"/>
        </w:rPr>
        <w:t>El Sistema de la Universidad Boliviana (SUB), desarrolla sus actividades de acuerdo con el Plan de Desarrollo Universitario, cuya misión es formar profesionales idóneos, de reconocida calidad humana y excelencia científica, con conciencia crítica y capacidad de crear, adaptar y enriquecer la ciencia y tecnología universales para el desarrollo sostenible, impulsando el progreso, la integración nacional y la interacción social; promover la investigación científica y los estudios humanísticos, recuperando los saberes ancestrales; participar en los procesos sociales, defendiendo los recursos y los derechos humanos; difundir y acrecentar el patrimonio cultural, así como contribuir a la defensa de la soberanía del país y el compromiso con la liberación nacional y social.”</w:t>
      </w:r>
      <w:r w:rsidRPr="00AF06DE">
        <w:rPr>
          <w:rFonts w:ascii="Bookman Old Style" w:eastAsia="Times New Roman" w:hAnsi="Bookman Old Style" w:cs="Tahoma"/>
          <w:spacing w:val="-3"/>
          <w:sz w:val="22"/>
          <w:szCs w:val="22"/>
          <w:lang w:val="es-ES" w:eastAsia="es-ES"/>
        </w:rPr>
        <w:t>.</w:t>
      </w:r>
    </w:p>
    <w:p w14:paraId="0F87296D" w14:textId="77777777" w:rsidR="00996578" w:rsidRDefault="00996578" w:rsidP="00AF06DE">
      <w:pPr>
        <w:widowControl w:val="0"/>
        <w:tabs>
          <w:tab w:val="left" w:pos="-720"/>
        </w:tabs>
        <w:suppressAutoHyphens/>
        <w:autoSpaceDE w:val="0"/>
        <w:autoSpaceDN w:val="0"/>
        <w:adjustRightInd w:val="0"/>
        <w:spacing w:line="276" w:lineRule="auto"/>
        <w:jc w:val="both"/>
        <w:rPr>
          <w:rFonts w:ascii="Bookman Old Style" w:eastAsia="Times New Roman" w:hAnsi="Bookman Old Style" w:cs="Tahoma"/>
          <w:spacing w:val="-3"/>
          <w:sz w:val="22"/>
          <w:szCs w:val="22"/>
          <w:lang w:val="es-ES" w:eastAsia="es-ES"/>
        </w:rPr>
      </w:pPr>
    </w:p>
    <w:p w14:paraId="59D040B9" w14:textId="77777777" w:rsidR="00996578" w:rsidRDefault="00996578" w:rsidP="00996578">
      <w:pPr>
        <w:widowControl w:val="0"/>
        <w:tabs>
          <w:tab w:val="left" w:pos="-720"/>
        </w:tabs>
        <w:suppressAutoHyphens/>
        <w:autoSpaceDE w:val="0"/>
        <w:autoSpaceDN w:val="0"/>
        <w:adjustRightInd w:val="0"/>
        <w:spacing w:line="276" w:lineRule="auto"/>
        <w:jc w:val="both"/>
        <w:rPr>
          <w:rFonts w:ascii="Bookman Old Style" w:eastAsia="Times New Roman" w:hAnsi="Bookman Old Style" w:cs="Tahoma"/>
          <w:bCs/>
          <w:spacing w:val="-3"/>
          <w:sz w:val="22"/>
          <w:szCs w:val="22"/>
          <w:lang w:val="es-ES_tradnl" w:eastAsia="es-ES"/>
        </w:rPr>
      </w:pPr>
      <w:r w:rsidRPr="009C18C4">
        <w:rPr>
          <w:rFonts w:ascii="Bookman Old Style" w:eastAsia="Times New Roman" w:hAnsi="Bookman Old Style" w:cs="Tahoma"/>
          <w:bCs/>
          <w:spacing w:val="-3"/>
          <w:sz w:val="22"/>
          <w:szCs w:val="22"/>
          <w:lang w:val="es-ES_tradnl" w:eastAsia="es-ES"/>
        </w:rPr>
        <w:t xml:space="preserve">Que, </w:t>
      </w:r>
      <w:r w:rsidRPr="009C18C4">
        <w:rPr>
          <w:rFonts w:ascii="Bookman Old Style" w:eastAsia="Times New Roman" w:hAnsi="Bookman Old Style" w:cs="Tahoma"/>
          <w:bCs/>
          <w:spacing w:val="-3"/>
          <w:sz w:val="22"/>
          <w:szCs w:val="22"/>
          <w:lang w:eastAsia="es-ES"/>
        </w:rPr>
        <w:t xml:space="preserve">el Sistema de Planificación Integral del Sistema de la Universidad Boliviana, se constituye en un instrumento de gestión académico administrativo, que define los diferentes niveles de los planes universitarios, su estructura, </w:t>
      </w:r>
      <w:r w:rsidRPr="00113F62">
        <w:rPr>
          <w:rFonts w:ascii="Bookman Old Style" w:eastAsia="Times New Roman" w:hAnsi="Bookman Old Style" w:cs="Tahoma"/>
          <w:bCs/>
          <w:spacing w:val="-3"/>
          <w:sz w:val="22"/>
          <w:szCs w:val="22"/>
          <w:lang w:eastAsia="es-ES"/>
        </w:rPr>
        <w:t xml:space="preserve">las instancias de responsabilidad, la articulación y compatibilidad interna (SUB), y el nivel de concordancia y articulación de estos con el Plan de Desarrollo Económico y Social, estableciendo los procesos de planificación, financiamiento y Seguimiento y Evaluación Integral, y está </w:t>
      </w:r>
      <w:r w:rsidRPr="009C18C4">
        <w:rPr>
          <w:rFonts w:ascii="Bookman Old Style" w:eastAsia="Times New Roman" w:hAnsi="Bookman Old Style" w:cs="Tahoma"/>
          <w:bCs/>
          <w:spacing w:val="-3"/>
          <w:sz w:val="22"/>
          <w:szCs w:val="22"/>
          <w:lang w:eastAsia="es-ES"/>
        </w:rPr>
        <w:t xml:space="preserve">destinado a contribuir al logro de la Visión, Misión, principios, fines y objetivos del Sistema de la Universidad Boliviana (SUB) y de cada una de las Universidades Públicas Autónomas que la conforman, a través del cumplimiento de los PEI y el propio PDU, que </w:t>
      </w:r>
      <w:r w:rsidRPr="009C18C4">
        <w:rPr>
          <w:rFonts w:ascii="Bookman Old Style" w:eastAsia="Times New Roman" w:hAnsi="Bookman Old Style" w:cs="Tahoma"/>
          <w:bCs/>
          <w:spacing w:val="-3"/>
          <w:sz w:val="22"/>
          <w:szCs w:val="22"/>
          <w:lang w:val="es-ES_tradnl" w:eastAsia="es-ES"/>
        </w:rPr>
        <w:t>se concibe como el instrumento de contribución al desarrollo socioeconómico nacional, y surge como resultado, de la consolidación de las metas programadas por las 11 universidades del SUB.</w:t>
      </w:r>
    </w:p>
    <w:p w14:paraId="507266B2" w14:textId="77777777" w:rsidR="001D62DB" w:rsidRDefault="001D62DB" w:rsidP="00AF06DE">
      <w:pPr>
        <w:widowControl w:val="0"/>
        <w:tabs>
          <w:tab w:val="left" w:pos="-720"/>
        </w:tabs>
        <w:suppressAutoHyphens/>
        <w:autoSpaceDE w:val="0"/>
        <w:autoSpaceDN w:val="0"/>
        <w:adjustRightInd w:val="0"/>
        <w:spacing w:line="276" w:lineRule="auto"/>
        <w:jc w:val="both"/>
        <w:rPr>
          <w:rFonts w:ascii="Bookman Old Style" w:eastAsia="Times New Roman" w:hAnsi="Bookman Old Style" w:cs="Tahoma"/>
          <w:spacing w:val="-3"/>
          <w:sz w:val="22"/>
          <w:szCs w:val="22"/>
          <w:lang w:val="es-ES" w:eastAsia="es-ES"/>
        </w:rPr>
      </w:pPr>
    </w:p>
    <w:p w14:paraId="7C9BAD42" w14:textId="0F6DA95D" w:rsidR="0022666D" w:rsidRDefault="0022666D" w:rsidP="0022666D">
      <w:pPr>
        <w:widowControl w:val="0"/>
        <w:tabs>
          <w:tab w:val="left" w:pos="-720"/>
        </w:tabs>
        <w:suppressAutoHyphens/>
        <w:autoSpaceDE w:val="0"/>
        <w:autoSpaceDN w:val="0"/>
        <w:adjustRightInd w:val="0"/>
        <w:spacing w:line="276" w:lineRule="auto"/>
        <w:jc w:val="both"/>
        <w:rPr>
          <w:rFonts w:ascii="Bookman Old Style" w:eastAsia="Times New Roman" w:hAnsi="Bookman Old Style" w:cs="Tahoma"/>
          <w:spacing w:val="-3"/>
          <w:sz w:val="22"/>
          <w:szCs w:val="22"/>
          <w:lang w:val="es-ES_tradnl" w:eastAsia="es-ES"/>
        </w:rPr>
      </w:pPr>
      <w:r w:rsidRPr="00C9749C">
        <w:rPr>
          <w:rFonts w:ascii="Bookman Old Style" w:eastAsia="Times New Roman" w:hAnsi="Bookman Old Style" w:cs="Tahoma"/>
          <w:spacing w:val="-3"/>
          <w:sz w:val="22"/>
          <w:szCs w:val="22"/>
          <w:lang w:val="es-ES_tradnl" w:eastAsia="es-ES"/>
        </w:rPr>
        <w:t xml:space="preserve">Que, el SUB ha perfeccionado sus instrumentos normativos de planificación, y los Planes Universitarios, en el marco del Acuerdo Suscrito en la gestión 2023 con el Ministerio de Planificación del Desarrollo como </w:t>
      </w:r>
      <w:r w:rsidR="00305C69">
        <w:rPr>
          <w:rFonts w:ascii="Bookman Old Style" w:eastAsia="Times New Roman" w:hAnsi="Bookman Old Style" w:cs="Tahoma"/>
          <w:spacing w:val="-3"/>
          <w:sz w:val="22"/>
          <w:szCs w:val="22"/>
          <w:lang w:val="es-ES_tradnl" w:eastAsia="es-ES"/>
        </w:rPr>
        <w:t>Ó</w:t>
      </w:r>
      <w:r w:rsidR="00305C69" w:rsidRPr="00C9749C">
        <w:rPr>
          <w:rFonts w:ascii="Bookman Old Style" w:eastAsia="Times New Roman" w:hAnsi="Bookman Old Style" w:cs="Tahoma"/>
          <w:spacing w:val="-3"/>
          <w:sz w:val="22"/>
          <w:szCs w:val="22"/>
          <w:lang w:val="es-ES_tradnl" w:eastAsia="es-ES"/>
        </w:rPr>
        <w:t>rgano</w:t>
      </w:r>
      <w:r w:rsidRPr="00C9749C">
        <w:rPr>
          <w:rFonts w:ascii="Bookman Old Style" w:eastAsia="Times New Roman" w:hAnsi="Bookman Old Style" w:cs="Tahoma"/>
          <w:spacing w:val="-3"/>
          <w:sz w:val="22"/>
          <w:szCs w:val="22"/>
          <w:lang w:val="es-ES_tradnl" w:eastAsia="es-ES"/>
        </w:rPr>
        <w:t xml:space="preserve"> </w:t>
      </w:r>
      <w:r w:rsidR="00305C69">
        <w:rPr>
          <w:rFonts w:ascii="Bookman Old Style" w:eastAsia="Times New Roman" w:hAnsi="Bookman Old Style" w:cs="Tahoma"/>
          <w:spacing w:val="-3"/>
          <w:sz w:val="22"/>
          <w:szCs w:val="22"/>
          <w:lang w:val="es-ES_tradnl" w:eastAsia="es-ES"/>
        </w:rPr>
        <w:t>R</w:t>
      </w:r>
      <w:r w:rsidRPr="00C9749C">
        <w:rPr>
          <w:rFonts w:ascii="Bookman Old Style" w:eastAsia="Times New Roman" w:hAnsi="Bookman Old Style" w:cs="Tahoma"/>
          <w:spacing w:val="-3"/>
          <w:sz w:val="22"/>
          <w:szCs w:val="22"/>
          <w:lang w:val="es-ES_tradnl" w:eastAsia="es-ES"/>
        </w:rPr>
        <w:t>ector</w:t>
      </w:r>
      <w:r w:rsidR="006E63B9">
        <w:rPr>
          <w:rFonts w:ascii="Bookman Old Style" w:eastAsia="Times New Roman" w:hAnsi="Bookman Old Style" w:cs="Tahoma"/>
          <w:spacing w:val="-3"/>
          <w:sz w:val="22"/>
          <w:szCs w:val="22"/>
          <w:lang w:val="es-ES_tradnl" w:eastAsia="es-ES"/>
        </w:rPr>
        <w:t xml:space="preserve"> del SPIE</w:t>
      </w:r>
      <w:r w:rsidRPr="00C9749C">
        <w:rPr>
          <w:rFonts w:ascii="Bookman Old Style" w:eastAsia="Times New Roman" w:hAnsi="Bookman Old Style" w:cs="Tahoma"/>
          <w:spacing w:val="-3"/>
          <w:sz w:val="22"/>
          <w:szCs w:val="22"/>
          <w:lang w:val="es-ES_tradnl" w:eastAsia="es-ES"/>
        </w:rPr>
        <w:t>; y consecuentemente, las Universidades del SUB han desarrollado ajustes a sus PEI y al PDU 2021-2025.</w:t>
      </w:r>
    </w:p>
    <w:p w14:paraId="523161EC" w14:textId="4B866FA1" w:rsidR="00A24E1B" w:rsidRDefault="00AB579F" w:rsidP="0022666D">
      <w:pPr>
        <w:widowControl w:val="0"/>
        <w:tabs>
          <w:tab w:val="left" w:pos="-720"/>
        </w:tabs>
        <w:suppressAutoHyphens/>
        <w:autoSpaceDE w:val="0"/>
        <w:autoSpaceDN w:val="0"/>
        <w:adjustRightInd w:val="0"/>
        <w:spacing w:line="276" w:lineRule="auto"/>
        <w:jc w:val="both"/>
        <w:rPr>
          <w:rFonts w:ascii="Bookman Old Style" w:eastAsia="Times New Roman" w:hAnsi="Bookman Old Style" w:cs="Tahoma"/>
          <w:spacing w:val="-3"/>
          <w:sz w:val="22"/>
          <w:szCs w:val="22"/>
          <w:lang w:val="es-ES_tradnl" w:eastAsia="es-ES"/>
        </w:rPr>
      </w:pPr>
      <w:r>
        <w:rPr>
          <w:rFonts w:ascii="Bookman Old Style" w:eastAsia="Times New Roman" w:hAnsi="Bookman Old Style" w:cs="Tahoma"/>
          <w:spacing w:val="-3"/>
          <w:sz w:val="22"/>
          <w:szCs w:val="22"/>
          <w:lang w:val="es-ES_tradnl" w:eastAsia="es-ES"/>
        </w:rPr>
        <w:lastRenderedPageBreak/>
        <w:t>Que, por el Acuerdo precedentemente citado, el MPD reconoció que:</w:t>
      </w:r>
    </w:p>
    <w:p w14:paraId="4C44029D" w14:textId="77777777" w:rsidR="00AB579F" w:rsidRDefault="00AB579F" w:rsidP="00AB579F">
      <w:pPr>
        <w:pStyle w:val="Prrafodelista"/>
        <w:widowControl w:val="0"/>
        <w:numPr>
          <w:ilvl w:val="0"/>
          <w:numId w:val="3"/>
        </w:numPr>
        <w:tabs>
          <w:tab w:val="left" w:pos="-720"/>
        </w:tabs>
        <w:suppressAutoHyphens/>
        <w:autoSpaceDE w:val="0"/>
        <w:autoSpaceDN w:val="0"/>
        <w:adjustRightInd w:val="0"/>
        <w:spacing w:line="276" w:lineRule="auto"/>
        <w:ind w:left="567" w:hanging="141"/>
        <w:jc w:val="both"/>
        <w:rPr>
          <w:rFonts w:ascii="Bookman Old Style" w:eastAsia="Times New Roman" w:hAnsi="Bookman Old Style" w:cs="Tahoma"/>
          <w:spacing w:val="-3"/>
          <w:sz w:val="22"/>
          <w:szCs w:val="22"/>
          <w:lang w:val="es-ES_tradnl" w:eastAsia="es-ES"/>
        </w:rPr>
      </w:pPr>
      <w:r w:rsidRPr="00AB579F">
        <w:rPr>
          <w:rFonts w:ascii="Bookman Old Style" w:eastAsia="Times New Roman" w:hAnsi="Bookman Old Style" w:cs="Tahoma"/>
          <w:spacing w:val="-3"/>
          <w:sz w:val="22"/>
          <w:szCs w:val="22"/>
          <w:lang w:val="es-ES_tradnl" w:eastAsia="es-ES"/>
        </w:rPr>
        <w:t>El SUB como el PDU, reconocidos por la CPE, no están contemplados en la Ley 777 del SPIE</w:t>
      </w:r>
      <w:r>
        <w:rPr>
          <w:rFonts w:ascii="Bookman Old Style" w:eastAsia="Times New Roman" w:hAnsi="Bookman Old Style" w:cs="Tahoma"/>
          <w:spacing w:val="-3"/>
          <w:sz w:val="22"/>
          <w:szCs w:val="22"/>
          <w:lang w:val="es-ES_tradnl" w:eastAsia="es-ES"/>
        </w:rPr>
        <w:t>.</w:t>
      </w:r>
    </w:p>
    <w:p w14:paraId="7EEACC57" w14:textId="77777777" w:rsidR="00AB579F" w:rsidRDefault="00AB579F" w:rsidP="00AB579F">
      <w:pPr>
        <w:pStyle w:val="Prrafodelista"/>
        <w:widowControl w:val="0"/>
        <w:numPr>
          <w:ilvl w:val="0"/>
          <w:numId w:val="3"/>
        </w:numPr>
        <w:tabs>
          <w:tab w:val="left" w:pos="-720"/>
        </w:tabs>
        <w:suppressAutoHyphens/>
        <w:autoSpaceDE w:val="0"/>
        <w:autoSpaceDN w:val="0"/>
        <w:adjustRightInd w:val="0"/>
        <w:spacing w:line="276" w:lineRule="auto"/>
        <w:ind w:left="567" w:hanging="141"/>
        <w:jc w:val="both"/>
        <w:rPr>
          <w:rFonts w:ascii="Bookman Old Style" w:eastAsia="Times New Roman" w:hAnsi="Bookman Old Style" w:cs="Tahoma"/>
          <w:spacing w:val="-3"/>
          <w:sz w:val="22"/>
          <w:szCs w:val="22"/>
          <w:lang w:val="es-ES_tradnl" w:eastAsia="es-ES"/>
        </w:rPr>
      </w:pPr>
      <w:r w:rsidRPr="00AB579F">
        <w:rPr>
          <w:rFonts w:ascii="Bookman Old Style" w:eastAsia="Times New Roman" w:hAnsi="Bookman Old Style" w:cs="Tahoma"/>
          <w:spacing w:val="-3"/>
          <w:sz w:val="22"/>
          <w:szCs w:val="22"/>
          <w:lang w:val="es-ES_tradnl" w:eastAsia="es-ES"/>
        </w:rPr>
        <w:t>El SUB cuenta con un Sistema de Planificación Integral Universitaria, como regulación propia de carácter especial y de naturaleza académica que, en el marco de la Autonomía Universitaria se articula con el SPIE.</w:t>
      </w:r>
    </w:p>
    <w:p w14:paraId="05C22C58" w14:textId="77777777" w:rsidR="00AB579F" w:rsidRDefault="00AB579F" w:rsidP="00AB579F">
      <w:pPr>
        <w:pStyle w:val="Prrafodelista"/>
        <w:widowControl w:val="0"/>
        <w:numPr>
          <w:ilvl w:val="0"/>
          <w:numId w:val="3"/>
        </w:numPr>
        <w:tabs>
          <w:tab w:val="left" w:pos="-720"/>
        </w:tabs>
        <w:suppressAutoHyphens/>
        <w:autoSpaceDE w:val="0"/>
        <w:autoSpaceDN w:val="0"/>
        <w:adjustRightInd w:val="0"/>
        <w:spacing w:line="276" w:lineRule="auto"/>
        <w:ind w:left="567" w:hanging="141"/>
        <w:jc w:val="both"/>
        <w:rPr>
          <w:rFonts w:ascii="Bookman Old Style" w:eastAsia="Times New Roman" w:hAnsi="Bookman Old Style" w:cs="Tahoma"/>
          <w:spacing w:val="-3"/>
          <w:sz w:val="22"/>
          <w:szCs w:val="22"/>
          <w:lang w:val="es-ES_tradnl" w:eastAsia="es-ES"/>
        </w:rPr>
      </w:pPr>
      <w:r w:rsidRPr="00AB579F">
        <w:rPr>
          <w:rFonts w:ascii="Bookman Old Style" w:eastAsia="Times New Roman" w:hAnsi="Bookman Old Style" w:cs="Tahoma"/>
          <w:spacing w:val="-3"/>
          <w:sz w:val="22"/>
          <w:szCs w:val="22"/>
          <w:lang w:val="es-ES_tradnl" w:eastAsia="es-ES"/>
        </w:rPr>
        <w:t>Es necesario seguir trabajando en aspectos técnicos, a fin de establecer mecanismos de articulación y concertación entre el SPIE y la planificación universitaria.</w:t>
      </w:r>
    </w:p>
    <w:p w14:paraId="64CF132E" w14:textId="695BBF69" w:rsidR="00AB579F" w:rsidRPr="00AB579F" w:rsidRDefault="00AB579F" w:rsidP="0022666D">
      <w:pPr>
        <w:pStyle w:val="Prrafodelista"/>
        <w:widowControl w:val="0"/>
        <w:numPr>
          <w:ilvl w:val="0"/>
          <w:numId w:val="3"/>
        </w:numPr>
        <w:tabs>
          <w:tab w:val="left" w:pos="-720"/>
        </w:tabs>
        <w:suppressAutoHyphens/>
        <w:autoSpaceDE w:val="0"/>
        <w:autoSpaceDN w:val="0"/>
        <w:adjustRightInd w:val="0"/>
        <w:spacing w:line="276" w:lineRule="auto"/>
        <w:ind w:left="567" w:hanging="141"/>
        <w:jc w:val="both"/>
        <w:rPr>
          <w:rFonts w:ascii="Bookman Old Style" w:eastAsia="Times New Roman" w:hAnsi="Bookman Old Style" w:cs="Tahoma"/>
          <w:spacing w:val="-3"/>
          <w:sz w:val="22"/>
          <w:szCs w:val="22"/>
          <w:lang w:val="es-ES_tradnl" w:eastAsia="es-ES"/>
        </w:rPr>
      </w:pPr>
      <w:r w:rsidRPr="00AB579F">
        <w:rPr>
          <w:rFonts w:ascii="Bookman Old Style" w:eastAsia="Times New Roman" w:hAnsi="Bookman Old Style" w:cs="Tahoma"/>
          <w:spacing w:val="-3"/>
          <w:sz w:val="22"/>
          <w:szCs w:val="22"/>
          <w:lang w:val="es-ES_tradnl" w:eastAsia="es-ES"/>
        </w:rPr>
        <w:t>Un mecanismo de articulación del PDU con el PDES, a través de indicadores estratégicos de resultado del SUB de contribución al desarrollo del país.</w:t>
      </w:r>
    </w:p>
    <w:p w14:paraId="31DF8C0F" w14:textId="77777777" w:rsidR="0022666D" w:rsidRDefault="0022666D" w:rsidP="0022666D">
      <w:pPr>
        <w:widowControl w:val="0"/>
        <w:tabs>
          <w:tab w:val="left" w:pos="-720"/>
        </w:tabs>
        <w:suppressAutoHyphens/>
        <w:autoSpaceDE w:val="0"/>
        <w:autoSpaceDN w:val="0"/>
        <w:adjustRightInd w:val="0"/>
        <w:spacing w:line="276" w:lineRule="auto"/>
        <w:jc w:val="both"/>
        <w:rPr>
          <w:rFonts w:ascii="Bookman Old Style" w:eastAsia="Times New Roman" w:hAnsi="Bookman Old Style" w:cs="Tahoma"/>
          <w:spacing w:val="-3"/>
          <w:sz w:val="22"/>
          <w:szCs w:val="22"/>
          <w:lang w:val="es-ES_tradnl" w:eastAsia="es-ES"/>
        </w:rPr>
      </w:pPr>
    </w:p>
    <w:p w14:paraId="2961B9DE" w14:textId="77777777" w:rsidR="00996578" w:rsidRDefault="00996578" w:rsidP="00996578">
      <w:pPr>
        <w:widowControl w:val="0"/>
        <w:tabs>
          <w:tab w:val="left" w:pos="-720"/>
        </w:tabs>
        <w:suppressAutoHyphens/>
        <w:autoSpaceDE w:val="0"/>
        <w:autoSpaceDN w:val="0"/>
        <w:adjustRightInd w:val="0"/>
        <w:spacing w:line="276" w:lineRule="auto"/>
        <w:jc w:val="both"/>
        <w:rPr>
          <w:rFonts w:ascii="Bookman Old Style" w:eastAsia="Times New Roman" w:hAnsi="Bookman Old Style" w:cs="Tahoma"/>
          <w:spacing w:val="-3"/>
          <w:sz w:val="22"/>
          <w:szCs w:val="22"/>
          <w:lang w:val="es-ES_tradnl" w:eastAsia="es-ES"/>
        </w:rPr>
      </w:pPr>
      <w:r w:rsidRPr="009C18C4">
        <w:rPr>
          <w:rFonts w:ascii="Bookman Old Style" w:eastAsia="Times New Roman" w:hAnsi="Bookman Old Style" w:cs="Tahoma"/>
          <w:spacing w:val="-3"/>
          <w:sz w:val="22"/>
          <w:szCs w:val="22"/>
          <w:lang w:val="es-ES_tradnl" w:eastAsia="es-ES"/>
        </w:rPr>
        <w:t>Que</w:t>
      </w:r>
      <w:r>
        <w:rPr>
          <w:rFonts w:ascii="Bookman Old Style" w:eastAsia="Times New Roman" w:hAnsi="Bookman Old Style" w:cs="Tahoma"/>
          <w:spacing w:val="-3"/>
          <w:sz w:val="22"/>
          <w:szCs w:val="22"/>
          <w:lang w:val="es-ES_tradnl" w:eastAsia="es-ES"/>
        </w:rPr>
        <w:t>,</w:t>
      </w:r>
      <w:r w:rsidRPr="009C18C4">
        <w:rPr>
          <w:rFonts w:ascii="Bookman Old Style" w:eastAsia="Times New Roman" w:hAnsi="Bookman Old Style" w:cs="Tahoma"/>
          <w:spacing w:val="-3"/>
          <w:sz w:val="22"/>
          <w:szCs w:val="22"/>
          <w:lang w:val="es-ES_tradnl" w:eastAsia="es-ES"/>
        </w:rPr>
        <w:t xml:space="preserve"> durante la gestión 2024 todas las universidades públicas del Sistema de la Universidad Boliviana han recibido de parte de la Contraloría General del Estado (CGE), Informes de Supervisión a los Planes Estratégicos Institucionales, con un conjunto de observaciones y recomendaciones a ser implementadas por las universidades en el próximo ciclo de planificación, vale decir en los PEI 2026-2030 de las universidades y del propio Plan de Desarrollo Universitario.</w:t>
      </w:r>
    </w:p>
    <w:p w14:paraId="73B260D9" w14:textId="77777777" w:rsidR="00996578" w:rsidRDefault="00996578" w:rsidP="00AC26D9">
      <w:pPr>
        <w:widowControl w:val="0"/>
        <w:tabs>
          <w:tab w:val="left" w:pos="-720"/>
        </w:tabs>
        <w:suppressAutoHyphens/>
        <w:autoSpaceDE w:val="0"/>
        <w:autoSpaceDN w:val="0"/>
        <w:adjustRightInd w:val="0"/>
        <w:spacing w:line="276" w:lineRule="auto"/>
        <w:jc w:val="both"/>
        <w:rPr>
          <w:rFonts w:ascii="Bookman Old Style" w:eastAsia="Times New Roman" w:hAnsi="Bookman Old Style" w:cs="Tahoma"/>
          <w:spacing w:val="-3"/>
          <w:sz w:val="22"/>
          <w:szCs w:val="22"/>
          <w:lang w:val="es-ES_tradnl" w:eastAsia="es-ES"/>
        </w:rPr>
      </w:pPr>
    </w:p>
    <w:p w14:paraId="329528BE" w14:textId="77777777" w:rsidR="00963F3D" w:rsidRDefault="00301BAD" w:rsidP="00931414">
      <w:pPr>
        <w:widowControl w:val="0"/>
        <w:tabs>
          <w:tab w:val="left" w:pos="-720"/>
        </w:tabs>
        <w:suppressAutoHyphens/>
        <w:autoSpaceDE w:val="0"/>
        <w:autoSpaceDN w:val="0"/>
        <w:adjustRightInd w:val="0"/>
        <w:spacing w:line="276" w:lineRule="auto"/>
        <w:jc w:val="both"/>
        <w:rPr>
          <w:rFonts w:ascii="Bookman Old Style" w:eastAsia="Times New Roman" w:hAnsi="Bookman Old Style" w:cs="Tahoma"/>
          <w:spacing w:val="-3"/>
          <w:sz w:val="22"/>
          <w:szCs w:val="22"/>
          <w:lang w:val="es-ES_tradnl" w:eastAsia="es-ES"/>
        </w:rPr>
      </w:pPr>
      <w:r>
        <w:rPr>
          <w:rFonts w:ascii="Bookman Old Style" w:eastAsia="Times New Roman" w:hAnsi="Bookman Old Style" w:cs="Tahoma"/>
          <w:spacing w:val="-3"/>
          <w:sz w:val="22"/>
          <w:szCs w:val="22"/>
          <w:lang w:val="es-ES_tradnl" w:eastAsia="es-ES"/>
        </w:rPr>
        <w:t xml:space="preserve">Que, la Resolución Nº 56/2024 de 20 de noviembre de 2024 de la VI Conferencia Nacional de Universidades, </w:t>
      </w:r>
      <w:r w:rsidR="00963F3D">
        <w:rPr>
          <w:rFonts w:ascii="Bookman Old Style" w:eastAsia="Times New Roman" w:hAnsi="Bookman Old Style" w:cs="Tahoma"/>
          <w:spacing w:val="-3"/>
          <w:sz w:val="22"/>
          <w:szCs w:val="22"/>
          <w:lang w:val="es-ES_tradnl" w:eastAsia="es-ES"/>
        </w:rPr>
        <w:t>realizada en la ciudad de Llallagua, en su parte resolutiva, estableció:</w:t>
      </w:r>
    </w:p>
    <w:p w14:paraId="115F5E9D" w14:textId="58368D61" w:rsidR="00963F3D" w:rsidRDefault="00305C69" w:rsidP="00444DEF">
      <w:pPr>
        <w:pStyle w:val="Prrafodelista"/>
        <w:widowControl w:val="0"/>
        <w:numPr>
          <w:ilvl w:val="0"/>
          <w:numId w:val="2"/>
        </w:numPr>
        <w:tabs>
          <w:tab w:val="left" w:pos="-720"/>
        </w:tabs>
        <w:suppressAutoHyphens/>
        <w:autoSpaceDE w:val="0"/>
        <w:autoSpaceDN w:val="0"/>
        <w:adjustRightInd w:val="0"/>
        <w:spacing w:line="276" w:lineRule="auto"/>
        <w:ind w:left="567" w:hanging="141"/>
        <w:jc w:val="both"/>
        <w:rPr>
          <w:rFonts w:ascii="Bookman Old Style" w:eastAsia="Times New Roman" w:hAnsi="Bookman Old Style" w:cs="Tahoma"/>
          <w:spacing w:val="-3"/>
          <w:sz w:val="22"/>
          <w:szCs w:val="22"/>
          <w:lang w:val="es-ES_tradnl" w:eastAsia="es-ES"/>
        </w:rPr>
      </w:pPr>
      <w:r>
        <w:rPr>
          <w:rFonts w:ascii="Bookman Old Style" w:eastAsia="Times New Roman" w:hAnsi="Bookman Old Style" w:cs="Tahoma"/>
          <w:spacing w:val="-3"/>
          <w:sz w:val="22"/>
          <w:szCs w:val="22"/>
          <w:lang w:val="es-ES_tradnl" w:eastAsia="es-ES"/>
        </w:rPr>
        <w:t xml:space="preserve">Reafirmar </w:t>
      </w:r>
      <w:r w:rsidR="00963F3D" w:rsidRPr="00963F3D">
        <w:rPr>
          <w:rFonts w:ascii="Bookman Old Style" w:eastAsia="Times New Roman" w:hAnsi="Bookman Old Style" w:cs="Tahoma"/>
          <w:spacing w:val="-3"/>
          <w:sz w:val="22"/>
          <w:szCs w:val="22"/>
          <w:lang w:val="es-ES_tradnl" w:eastAsia="es-ES"/>
        </w:rPr>
        <w:t>el principio de la Autonomía Universitaria consagrado en la Constitución Política del Estado -Artículo 92. Parágrafo I, que reconoce al Sistema de la Universidad Boliviana y al Plan de Desarrollo Universitario (PDU) como instrumento de planificación y programación de los fines y funciones de las Universidades Públicas Autónomas</w:t>
      </w:r>
      <w:r>
        <w:rPr>
          <w:rFonts w:ascii="Bookman Old Style" w:eastAsia="Times New Roman" w:hAnsi="Bookman Old Style" w:cs="Tahoma"/>
          <w:spacing w:val="-3"/>
          <w:sz w:val="22"/>
          <w:szCs w:val="22"/>
          <w:lang w:val="es-ES_tradnl" w:eastAsia="es-ES"/>
        </w:rPr>
        <w:t xml:space="preserve"> (</w:t>
      </w:r>
      <w:r w:rsidRPr="00963F3D">
        <w:rPr>
          <w:rFonts w:ascii="Bookman Old Style" w:eastAsia="Times New Roman" w:hAnsi="Bookman Old Style" w:cs="Tahoma"/>
          <w:spacing w:val="-3"/>
          <w:sz w:val="22"/>
          <w:szCs w:val="22"/>
          <w:lang w:val="es-ES_tradnl" w:eastAsia="es-ES"/>
        </w:rPr>
        <w:t>Artículo Primero</w:t>
      </w:r>
      <w:r>
        <w:rPr>
          <w:rFonts w:ascii="Bookman Old Style" w:eastAsia="Times New Roman" w:hAnsi="Bookman Old Style" w:cs="Tahoma"/>
          <w:spacing w:val="-3"/>
          <w:sz w:val="22"/>
          <w:szCs w:val="22"/>
          <w:lang w:val="es-ES_tradnl" w:eastAsia="es-ES"/>
        </w:rPr>
        <w:t>).</w:t>
      </w:r>
    </w:p>
    <w:p w14:paraId="010467CD" w14:textId="0CD5D989" w:rsidR="00963F3D" w:rsidRDefault="00305C69" w:rsidP="002B58DF">
      <w:pPr>
        <w:pStyle w:val="Prrafodelista"/>
        <w:widowControl w:val="0"/>
        <w:numPr>
          <w:ilvl w:val="0"/>
          <w:numId w:val="2"/>
        </w:numPr>
        <w:tabs>
          <w:tab w:val="left" w:pos="-720"/>
        </w:tabs>
        <w:suppressAutoHyphens/>
        <w:autoSpaceDE w:val="0"/>
        <w:autoSpaceDN w:val="0"/>
        <w:adjustRightInd w:val="0"/>
        <w:spacing w:line="276" w:lineRule="auto"/>
        <w:ind w:left="567" w:hanging="141"/>
        <w:jc w:val="both"/>
        <w:rPr>
          <w:rFonts w:ascii="Bookman Old Style" w:eastAsia="Times New Roman" w:hAnsi="Bookman Old Style" w:cs="Tahoma"/>
          <w:spacing w:val="-3"/>
          <w:sz w:val="22"/>
          <w:szCs w:val="22"/>
          <w:lang w:val="es-ES_tradnl" w:eastAsia="es-ES"/>
        </w:rPr>
      </w:pPr>
      <w:r>
        <w:rPr>
          <w:rFonts w:ascii="Bookman Old Style" w:eastAsia="Times New Roman" w:hAnsi="Bookman Old Style" w:cs="Tahoma"/>
          <w:spacing w:val="-3"/>
          <w:sz w:val="22"/>
          <w:szCs w:val="22"/>
          <w:lang w:val="es-ES_tradnl" w:eastAsia="es-ES"/>
        </w:rPr>
        <w:t xml:space="preserve">Ratificar </w:t>
      </w:r>
      <w:r w:rsidR="00BC3612" w:rsidRPr="00BC3612">
        <w:rPr>
          <w:rFonts w:ascii="Bookman Old Style" w:eastAsia="Times New Roman" w:hAnsi="Bookman Old Style" w:cs="Tahoma"/>
          <w:spacing w:val="-3"/>
          <w:sz w:val="22"/>
          <w:szCs w:val="22"/>
          <w:lang w:val="es-ES_tradnl" w:eastAsia="es-ES"/>
        </w:rPr>
        <w:t xml:space="preserve">la </w:t>
      </w:r>
      <w:r w:rsidR="00963F3D" w:rsidRPr="00BC3612">
        <w:rPr>
          <w:rFonts w:ascii="Bookman Old Style" w:eastAsia="Times New Roman" w:hAnsi="Bookman Old Style" w:cs="Tahoma"/>
          <w:spacing w:val="-3"/>
          <w:sz w:val="22"/>
          <w:szCs w:val="22"/>
          <w:lang w:val="es-ES_tradnl" w:eastAsia="es-ES"/>
        </w:rPr>
        <w:t>Resolución N° 03/2024 de la IV Conferencia Nacional Ordinaria de Universidades</w:t>
      </w:r>
      <w:r w:rsidR="00BC3612" w:rsidRPr="00BC3612">
        <w:rPr>
          <w:rFonts w:ascii="Bookman Old Style" w:eastAsia="Times New Roman" w:hAnsi="Bookman Old Style" w:cs="Tahoma"/>
          <w:spacing w:val="-3"/>
          <w:sz w:val="22"/>
          <w:szCs w:val="22"/>
          <w:lang w:val="es-ES_tradnl" w:eastAsia="es-ES"/>
        </w:rPr>
        <w:t xml:space="preserve">, y específicamente en el aspecto referido a los </w:t>
      </w:r>
      <w:r w:rsidR="00963F3D" w:rsidRPr="00BC3612">
        <w:rPr>
          <w:rFonts w:ascii="Bookman Old Style" w:eastAsia="Times New Roman" w:hAnsi="Bookman Old Style" w:cs="Tahoma"/>
          <w:spacing w:val="-3"/>
          <w:sz w:val="22"/>
          <w:szCs w:val="22"/>
          <w:lang w:val="es-ES_tradnl" w:eastAsia="es-ES"/>
        </w:rPr>
        <w:t>Informes de Supervisión de la CGE a los PEI de las 11 universidades Públicas Autónomas, que las observaciones y recomendaciones de la CGE que están dirigidas al Sistema de Planificación del SUB, se analizarán en su nivel técnico-académico, en el marco de la Autonomía Universitaria</w:t>
      </w:r>
      <w:r w:rsidR="00BC3612" w:rsidRPr="00BC3612">
        <w:rPr>
          <w:rFonts w:ascii="Bookman Old Style" w:eastAsia="Times New Roman" w:hAnsi="Bookman Old Style" w:cs="Tahoma"/>
          <w:spacing w:val="-3"/>
          <w:sz w:val="22"/>
          <w:szCs w:val="22"/>
          <w:lang w:val="es-ES_tradnl" w:eastAsia="es-ES"/>
        </w:rPr>
        <w:t xml:space="preserve"> y </w:t>
      </w:r>
      <w:r w:rsidR="00963F3D" w:rsidRPr="00BC3612">
        <w:rPr>
          <w:rFonts w:ascii="Bookman Old Style" w:eastAsia="Times New Roman" w:hAnsi="Bookman Old Style" w:cs="Tahoma"/>
          <w:spacing w:val="-3"/>
          <w:sz w:val="22"/>
          <w:szCs w:val="22"/>
          <w:lang w:val="es-ES_tradnl" w:eastAsia="es-ES"/>
        </w:rPr>
        <w:t>el Acuerdo suscrito con el Órgano Rector (MPD); para que, en los casos que corresponda y en un sentido positivo, se recojan las recomendaciones pertinentes</w:t>
      </w:r>
      <w:r>
        <w:rPr>
          <w:rFonts w:ascii="Bookman Old Style" w:eastAsia="Times New Roman" w:hAnsi="Bookman Old Style" w:cs="Tahoma"/>
          <w:spacing w:val="-3"/>
          <w:sz w:val="22"/>
          <w:szCs w:val="22"/>
          <w:lang w:val="es-ES_tradnl" w:eastAsia="es-ES"/>
        </w:rPr>
        <w:t xml:space="preserve"> (</w:t>
      </w:r>
      <w:r w:rsidRPr="00BC3612">
        <w:rPr>
          <w:rFonts w:ascii="Bookman Old Style" w:eastAsia="Times New Roman" w:hAnsi="Bookman Old Style" w:cs="Tahoma"/>
          <w:spacing w:val="-3"/>
          <w:sz w:val="22"/>
          <w:szCs w:val="22"/>
          <w:lang w:val="es-ES_tradnl" w:eastAsia="es-ES"/>
        </w:rPr>
        <w:t>Artículo Cuarto</w:t>
      </w:r>
      <w:r>
        <w:rPr>
          <w:rFonts w:ascii="Bookman Old Style" w:eastAsia="Times New Roman" w:hAnsi="Bookman Old Style" w:cs="Tahoma"/>
          <w:spacing w:val="-3"/>
          <w:sz w:val="22"/>
          <w:szCs w:val="22"/>
          <w:lang w:val="es-ES_tradnl" w:eastAsia="es-ES"/>
        </w:rPr>
        <w:t>).</w:t>
      </w:r>
    </w:p>
    <w:p w14:paraId="683F4A9D" w14:textId="73410EEE" w:rsidR="00963F3D" w:rsidRPr="00BC3612" w:rsidRDefault="00BC3612" w:rsidP="002B58DF">
      <w:pPr>
        <w:pStyle w:val="Prrafodelista"/>
        <w:widowControl w:val="0"/>
        <w:numPr>
          <w:ilvl w:val="0"/>
          <w:numId w:val="2"/>
        </w:numPr>
        <w:tabs>
          <w:tab w:val="left" w:pos="-720"/>
        </w:tabs>
        <w:suppressAutoHyphens/>
        <w:autoSpaceDE w:val="0"/>
        <w:autoSpaceDN w:val="0"/>
        <w:adjustRightInd w:val="0"/>
        <w:spacing w:line="276" w:lineRule="auto"/>
        <w:ind w:left="567" w:hanging="141"/>
        <w:jc w:val="both"/>
        <w:rPr>
          <w:rFonts w:ascii="Bookman Old Style" w:eastAsia="Times New Roman" w:hAnsi="Bookman Old Style" w:cs="Tahoma"/>
          <w:spacing w:val="-3"/>
          <w:sz w:val="22"/>
          <w:szCs w:val="22"/>
          <w:lang w:val="es-ES_tradnl" w:eastAsia="es-ES"/>
        </w:rPr>
      </w:pPr>
      <w:r w:rsidRPr="00BC3612">
        <w:rPr>
          <w:rFonts w:ascii="Bookman Old Style" w:eastAsia="Times New Roman" w:hAnsi="Bookman Old Style" w:cs="Tahoma"/>
          <w:spacing w:val="-3"/>
          <w:sz w:val="22"/>
          <w:szCs w:val="22"/>
          <w:lang w:val="es-ES_tradnl" w:eastAsia="es-ES"/>
        </w:rPr>
        <w:t xml:space="preserve">Encomendar al </w:t>
      </w:r>
      <w:r w:rsidR="00963F3D" w:rsidRPr="00BC3612">
        <w:rPr>
          <w:rFonts w:ascii="Bookman Old Style" w:eastAsia="Times New Roman" w:hAnsi="Bookman Old Style" w:cs="Tahoma"/>
          <w:spacing w:val="-3"/>
          <w:sz w:val="22"/>
          <w:szCs w:val="22"/>
          <w:lang w:val="es-ES_tradnl" w:eastAsia="es-ES"/>
        </w:rPr>
        <w:t xml:space="preserve">CEUB, en cumplimiento del Acta de Acuerdo y Compromisos con el Ministerio de Planificación del Desarrollo, </w:t>
      </w:r>
      <w:r w:rsidRPr="00BC3612">
        <w:rPr>
          <w:rFonts w:ascii="Bookman Old Style" w:eastAsia="Times New Roman" w:hAnsi="Bookman Old Style" w:cs="Tahoma"/>
          <w:spacing w:val="-3"/>
          <w:sz w:val="22"/>
          <w:szCs w:val="22"/>
          <w:lang w:val="es-ES_tradnl" w:eastAsia="es-ES"/>
        </w:rPr>
        <w:t>c</w:t>
      </w:r>
      <w:r w:rsidR="00963F3D" w:rsidRPr="00BC3612">
        <w:rPr>
          <w:rFonts w:ascii="Bookman Old Style" w:eastAsia="Times New Roman" w:hAnsi="Bookman Old Style" w:cs="Tahoma"/>
          <w:spacing w:val="-3"/>
          <w:sz w:val="22"/>
          <w:szCs w:val="22"/>
          <w:lang w:val="es-ES_tradnl" w:eastAsia="es-ES"/>
        </w:rPr>
        <w:t xml:space="preserve">ontinuar trabajando en los aspectos técnicos, a fin de establecer mecanismos de articulación y concertación entre el SPIE y la planificación universitaria, que </w:t>
      </w:r>
      <w:r w:rsidRPr="00BC3612">
        <w:rPr>
          <w:rFonts w:ascii="Bookman Old Style" w:eastAsia="Times New Roman" w:hAnsi="Bookman Old Style" w:cs="Tahoma"/>
          <w:spacing w:val="-3"/>
          <w:sz w:val="22"/>
          <w:szCs w:val="22"/>
          <w:lang w:val="es-ES_tradnl" w:eastAsia="es-ES"/>
        </w:rPr>
        <w:t xml:space="preserve">es </w:t>
      </w:r>
      <w:r w:rsidR="00963F3D" w:rsidRPr="00BC3612">
        <w:rPr>
          <w:rFonts w:ascii="Bookman Old Style" w:eastAsia="Times New Roman" w:hAnsi="Bookman Old Style" w:cs="Tahoma"/>
          <w:spacing w:val="-3"/>
          <w:sz w:val="22"/>
          <w:szCs w:val="22"/>
          <w:lang w:val="es-ES_tradnl" w:eastAsia="es-ES"/>
        </w:rPr>
        <w:t>complementaria</w:t>
      </w:r>
      <w:r w:rsidR="00A56F6A">
        <w:rPr>
          <w:rFonts w:ascii="Bookman Old Style" w:eastAsia="Times New Roman" w:hAnsi="Bookman Old Style" w:cs="Tahoma"/>
          <w:spacing w:val="-3"/>
          <w:sz w:val="22"/>
          <w:szCs w:val="22"/>
          <w:lang w:val="es-ES_tradnl" w:eastAsia="es-ES"/>
        </w:rPr>
        <w:t xml:space="preserve"> (</w:t>
      </w:r>
      <w:r w:rsidR="00A56F6A" w:rsidRPr="00BC3612">
        <w:rPr>
          <w:rFonts w:ascii="Bookman Old Style" w:eastAsia="Times New Roman" w:hAnsi="Bookman Old Style" w:cs="Tahoma"/>
          <w:spacing w:val="-3"/>
          <w:sz w:val="22"/>
          <w:szCs w:val="22"/>
          <w:lang w:val="es-ES_tradnl" w:eastAsia="es-ES"/>
        </w:rPr>
        <w:t>Artículo Quint</w:t>
      </w:r>
      <w:r w:rsidR="00A56F6A">
        <w:rPr>
          <w:rFonts w:ascii="Bookman Old Style" w:eastAsia="Times New Roman" w:hAnsi="Bookman Old Style" w:cs="Tahoma"/>
          <w:spacing w:val="-3"/>
          <w:sz w:val="22"/>
          <w:szCs w:val="22"/>
          <w:lang w:val="es-ES_tradnl" w:eastAsia="es-ES"/>
        </w:rPr>
        <w:t>o).</w:t>
      </w:r>
    </w:p>
    <w:p w14:paraId="281AAFFD" w14:textId="77777777" w:rsidR="00963F3D" w:rsidRDefault="00963F3D" w:rsidP="00931414">
      <w:pPr>
        <w:widowControl w:val="0"/>
        <w:tabs>
          <w:tab w:val="left" w:pos="-720"/>
        </w:tabs>
        <w:suppressAutoHyphens/>
        <w:autoSpaceDE w:val="0"/>
        <w:autoSpaceDN w:val="0"/>
        <w:adjustRightInd w:val="0"/>
        <w:spacing w:line="276" w:lineRule="auto"/>
        <w:jc w:val="both"/>
        <w:rPr>
          <w:rFonts w:ascii="Bookman Old Style" w:eastAsia="Times New Roman" w:hAnsi="Bookman Old Style" w:cs="Tahoma"/>
          <w:spacing w:val="-3"/>
          <w:sz w:val="22"/>
          <w:szCs w:val="22"/>
          <w:lang w:val="es-ES_tradnl" w:eastAsia="es-ES"/>
        </w:rPr>
      </w:pPr>
    </w:p>
    <w:p w14:paraId="25602700" w14:textId="77777777" w:rsidR="00903396" w:rsidRDefault="00903396" w:rsidP="00903396">
      <w:pPr>
        <w:widowControl w:val="0"/>
        <w:tabs>
          <w:tab w:val="left" w:pos="-720"/>
        </w:tabs>
        <w:suppressAutoHyphens/>
        <w:autoSpaceDE w:val="0"/>
        <w:autoSpaceDN w:val="0"/>
        <w:adjustRightInd w:val="0"/>
        <w:spacing w:line="276" w:lineRule="auto"/>
        <w:jc w:val="both"/>
        <w:rPr>
          <w:rFonts w:ascii="Bookman Old Style" w:eastAsia="Times New Roman" w:hAnsi="Bookman Old Style" w:cs="Tahoma"/>
          <w:spacing w:val="-3"/>
          <w:sz w:val="22"/>
          <w:szCs w:val="22"/>
          <w:lang w:val="es-ES_tradnl" w:eastAsia="es-ES"/>
        </w:rPr>
      </w:pPr>
      <w:r w:rsidRPr="00C9749C">
        <w:rPr>
          <w:rFonts w:ascii="Bookman Old Style" w:eastAsia="Times New Roman" w:hAnsi="Bookman Old Style" w:cs="Tahoma"/>
          <w:spacing w:val="-3"/>
          <w:sz w:val="22"/>
          <w:szCs w:val="22"/>
          <w:lang w:val="es-ES_tradnl" w:eastAsia="es-ES"/>
        </w:rPr>
        <w:t>Que, en fechas 19 al 21 de febrero de 2025, en instalaciones de la Universidad Técnica de Oruro, en la ciudad de Oruro, se llevó adelante la IX Reunión Nacional de Desarrollo Institucional, en la misma se definieron las comisiones para el trabajo de ajuste a los instrumentos normativos del Sistema de Planificación del SUB.</w:t>
      </w:r>
    </w:p>
    <w:p w14:paraId="0C4099FD" w14:textId="77777777" w:rsidR="00903396" w:rsidRDefault="00903396" w:rsidP="00931414">
      <w:pPr>
        <w:widowControl w:val="0"/>
        <w:tabs>
          <w:tab w:val="left" w:pos="-720"/>
        </w:tabs>
        <w:suppressAutoHyphens/>
        <w:autoSpaceDE w:val="0"/>
        <w:autoSpaceDN w:val="0"/>
        <w:adjustRightInd w:val="0"/>
        <w:spacing w:line="276" w:lineRule="auto"/>
        <w:jc w:val="both"/>
        <w:rPr>
          <w:rFonts w:ascii="Bookman Old Style" w:eastAsia="Times New Roman" w:hAnsi="Bookman Old Style" w:cs="Tahoma"/>
          <w:spacing w:val="-3"/>
          <w:sz w:val="22"/>
          <w:szCs w:val="22"/>
          <w:lang w:val="es-ES_tradnl" w:eastAsia="es-ES"/>
        </w:rPr>
      </w:pPr>
    </w:p>
    <w:p w14:paraId="364EC1EC" w14:textId="7AE05C44" w:rsidR="00CA6F88" w:rsidRPr="00CA6F88" w:rsidRDefault="008154BB" w:rsidP="00931414">
      <w:pPr>
        <w:widowControl w:val="0"/>
        <w:tabs>
          <w:tab w:val="left" w:pos="-720"/>
        </w:tabs>
        <w:suppressAutoHyphens/>
        <w:autoSpaceDE w:val="0"/>
        <w:autoSpaceDN w:val="0"/>
        <w:adjustRightInd w:val="0"/>
        <w:spacing w:line="276" w:lineRule="auto"/>
        <w:jc w:val="both"/>
        <w:rPr>
          <w:rFonts w:ascii="Bookman Old Style" w:eastAsia="Times New Roman" w:hAnsi="Bookman Old Style" w:cs="Tahoma"/>
          <w:spacing w:val="-3"/>
          <w:sz w:val="22"/>
          <w:szCs w:val="22"/>
          <w:highlight w:val="cyan"/>
          <w:lang w:val="es-ES_tradnl" w:eastAsia="es-ES"/>
        </w:rPr>
      </w:pPr>
      <w:r w:rsidRPr="009C18C4">
        <w:rPr>
          <w:rFonts w:ascii="Bookman Old Style" w:eastAsia="Times New Roman" w:hAnsi="Bookman Old Style" w:cs="Tahoma"/>
          <w:spacing w:val="-3"/>
          <w:sz w:val="22"/>
          <w:szCs w:val="22"/>
          <w:lang w:val="es-ES_tradnl" w:eastAsia="es-ES"/>
        </w:rPr>
        <w:t>Que</w:t>
      </w:r>
      <w:r w:rsidR="009C18C4" w:rsidRPr="009C18C4">
        <w:rPr>
          <w:rFonts w:ascii="Bookman Old Style" w:eastAsia="Times New Roman" w:hAnsi="Bookman Old Style" w:cs="Tahoma"/>
          <w:spacing w:val="-3"/>
          <w:sz w:val="22"/>
          <w:szCs w:val="22"/>
          <w:lang w:val="es-ES_tradnl" w:eastAsia="es-ES"/>
        </w:rPr>
        <w:t>,</w:t>
      </w:r>
      <w:r w:rsidRPr="009C18C4">
        <w:rPr>
          <w:rFonts w:ascii="Bookman Old Style" w:eastAsia="Times New Roman" w:hAnsi="Bookman Old Style" w:cs="Tahoma"/>
          <w:spacing w:val="-3"/>
          <w:sz w:val="22"/>
          <w:szCs w:val="22"/>
          <w:lang w:val="es-ES_tradnl" w:eastAsia="es-ES"/>
        </w:rPr>
        <w:t xml:space="preserve"> las recomendaciones emitidas por la CGE </w:t>
      </w:r>
      <w:r w:rsidR="00E9254E">
        <w:rPr>
          <w:rFonts w:ascii="Bookman Old Style" w:eastAsia="Times New Roman" w:hAnsi="Bookman Old Style" w:cs="Tahoma"/>
          <w:spacing w:val="-3"/>
          <w:sz w:val="22"/>
          <w:szCs w:val="22"/>
          <w:lang w:val="es-ES_tradnl" w:eastAsia="es-ES"/>
        </w:rPr>
        <w:t xml:space="preserve">en los Informes de Supervisión a los PEI, </w:t>
      </w:r>
      <w:r w:rsidRPr="009C18C4">
        <w:rPr>
          <w:rFonts w:ascii="Bookman Old Style" w:eastAsia="Times New Roman" w:hAnsi="Bookman Old Style" w:cs="Tahoma"/>
          <w:spacing w:val="-3"/>
          <w:sz w:val="22"/>
          <w:szCs w:val="22"/>
          <w:lang w:val="es-ES_tradnl" w:eastAsia="es-ES"/>
        </w:rPr>
        <w:t xml:space="preserve">han sido analizadas y consideradas </w:t>
      </w:r>
      <w:r w:rsidR="00907AC8">
        <w:rPr>
          <w:rFonts w:ascii="Bookman Old Style" w:eastAsia="Times New Roman" w:hAnsi="Bookman Old Style" w:cs="Tahoma"/>
          <w:spacing w:val="-3"/>
          <w:sz w:val="22"/>
          <w:szCs w:val="22"/>
          <w:lang w:val="es-ES_tradnl" w:eastAsia="es-ES"/>
        </w:rPr>
        <w:t xml:space="preserve">en cuanto a su pertinencia </w:t>
      </w:r>
      <w:r w:rsidRPr="009C18C4">
        <w:rPr>
          <w:rFonts w:ascii="Bookman Old Style" w:eastAsia="Times New Roman" w:hAnsi="Bookman Old Style" w:cs="Tahoma"/>
          <w:spacing w:val="-3"/>
          <w:sz w:val="22"/>
          <w:szCs w:val="22"/>
          <w:lang w:val="es-ES_tradnl" w:eastAsia="es-ES"/>
        </w:rPr>
        <w:t>en la X RENADI</w:t>
      </w:r>
      <w:r w:rsidR="00DA39E2" w:rsidRPr="009C18C4">
        <w:rPr>
          <w:rFonts w:ascii="Bookman Old Style" w:eastAsia="Times New Roman" w:hAnsi="Bookman Old Style" w:cs="Tahoma"/>
          <w:spacing w:val="-3"/>
          <w:sz w:val="22"/>
          <w:szCs w:val="22"/>
          <w:lang w:val="es-ES_tradnl" w:eastAsia="es-ES"/>
        </w:rPr>
        <w:t xml:space="preserve"> llevada a cabo en la ciudad de </w:t>
      </w:r>
      <w:r w:rsidR="00B64403">
        <w:rPr>
          <w:rFonts w:ascii="Bookman Old Style" w:eastAsia="Times New Roman" w:hAnsi="Bookman Old Style" w:cs="Tahoma"/>
          <w:spacing w:val="-3"/>
          <w:sz w:val="22"/>
          <w:szCs w:val="22"/>
          <w:lang w:val="es-ES_tradnl" w:eastAsia="es-ES"/>
        </w:rPr>
        <w:t>Sucre</w:t>
      </w:r>
      <w:r w:rsidRPr="009C18C4">
        <w:rPr>
          <w:rFonts w:ascii="Bookman Old Style" w:eastAsia="Times New Roman" w:hAnsi="Bookman Old Style" w:cs="Tahoma"/>
          <w:spacing w:val="-3"/>
          <w:sz w:val="22"/>
          <w:szCs w:val="22"/>
          <w:lang w:val="es-ES_tradnl" w:eastAsia="es-ES"/>
        </w:rPr>
        <w:t xml:space="preserve">, determinándose </w:t>
      </w:r>
      <w:r w:rsidR="00DA39E2" w:rsidRPr="009C18C4">
        <w:rPr>
          <w:rFonts w:ascii="Bookman Old Style" w:eastAsia="Times New Roman" w:hAnsi="Bookman Old Style" w:cs="Tahoma"/>
          <w:spacing w:val="-3"/>
          <w:sz w:val="22"/>
          <w:szCs w:val="22"/>
          <w:lang w:val="es-ES_tradnl" w:eastAsia="es-ES"/>
        </w:rPr>
        <w:t xml:space="preserve">de forma conjunta </w:t>
      </w:r>
      <w:r w:rsidRPr="009C18C4">
        <w:rPr>
          <w:rFonts w:ascii="Bookman Old Style" w:eastAsia="Times New Roman" w:hAnsi="Bookman Old Style" w:cs="Tahoma"/>
          <w:spacing w:val="-3"/>
          <w:sz w:val="22"/>
          <w:szCs w:val="22"/>
          <w:lang w:val="es-ES_tradnl" w:eastAsia="es-ES"/>
        </w:rPr>
        <w:t xml:space="preserve">que gran parte de ellas </w:t>
      </w:r>
      <w:r w:rsidR="009C18C4" w:rsidRPr="009C18C4">
        <w:rPr>
          <w:rFonts w:ascii="Bookman Old Style" w:eastAsia="Times New Roman" w:hAnsi="Bookman Old Style" w:cs="Tahoma"/>
          <w:spacing w:val="-3"/>
          <w:sz w:val="22"/>
          <w:szCs w:val="22"/>
          <w:lang w:val="es-ES_tradnl" w:eastAsia="es-ES"/>
        </w:rPr>
        <w:t>son comunes a todas las universidades</w:t>
      </w:r>
      <w:r w:rsidR="00AA4E90" w:rsidRPr="00AA4E90">
        <w:rPr>
          <w:rFonts w:ascii="Bookman Old Style" w:eastAsia="Times New Roman" w:hAnsi="Bookman Old Style" w:cs="Tahoma"/>
          <w:spacing w:val="-3"/>
          <w:sz w:val="22"/>
          <w:szCs w:val="22"/>
          <w:lang w:val="es-ES_tradnl" w:eastAsia="es-ES"/>
        </w:rPr>
        <w:t xml:space="preserve"> </w:t>
      </w:r>
      <w:r w:rsidR="00AA4E90">
        <w:rPr>
          <w:rFonts w:ascii="Bookman Old Style" w:eastAsia="Times New Roman" w:hAnsi="Bookman Old Style" w:cs="Tahoma"/>
          <w:spacing w:val="-3"/>
          <w:sz w:val="22"/>
          <w:szCs w:val="22"/>
          <w:lang w:val="es-ES_tradnl" w:eastAsia="es-ES"/>
        </w:rPr>
        <w:t xml:space="preserve">y se </w:t>
      </w:r>
      <w:r w:rsidR="00AA4E90" w:rsidRPr="009C18C4">
        <w:rPr>
          <w:rFonts w:ascii="Bookman Old Style" w:eastAsia="Times New Roman" w:hAnsi="Bookman Old Style" w:cs="Tahoma"/>
          <w:spacing w:val="-3"/>
          <w:sz w:val="22"/>
          <w:szCs w:val="22"/>
          <w:lang w:val="es-ES_tradnl" w:eastAsia="es-ES"/>
        </w:rPr>
        <w:t>centr</w:t>
      </w:r>
      <w:r w:rsidR="00AA4E90">
        <w:rPr>
          <w:rFonts w:ascii="Bookman Old Style" w:eastAsia="Times New Roman" w:hAnsi="Bookman Old Style" w:cs="Tahoma"/>
          <w:spacing w:val="-3"/>
          <w:sz w:val="22"/>
          <w:szCs w:val="22"/>
          <w:lang w:val="es-ES_tradnl" w:eastAsia="es-ES"/>
        </w:rPr>
        <w:t xml:space="preserve">aron </w:t>
      </w:r>
      <w:r w:rsidR="00AA4E90" w:rsidRPr="009C18C4">
        <w:rPr>
          <w:rFonts w:ascii="Bookman Old Style" w:eastAsia="Times New Roman" w:hAnsi="Bookman Old Style" w:cs="Tahoma"/>
          <w:spacing w:val="-3"/>
          <w:sz w:val="22"/>
          <w:szCs w:val="22"/>
          <w:lang w:val="es-ES_tradnl" w:eastAsia="es-ES"/>
        </w:rPr>
        <w:t>en los Lineamientos de formulación de los PEI</w:t>
      </w:r>
      <w:r w:rsidR="009C18C4" w:rsidRPr="009C18C4">
        <w:rPr>
          <w:rFonts w:ascii="Bookman Old Style" w:eastAsia="Times New Roman" w:hAnsi="Bookman Old Style" w:cs="Tahoma"/>
          <w:spacing w:val="-3"/>
          <w:sz w:val="22"/>
          <w:szCs w:val="22"/>
          <w:lang w:val="es-ES_tradnl" w:eastAsia="es-ES"/>
        </w:rPr>
        <w:t>, por cuanto aplican la normativa de planificación integral a nivel del SUB</w:t>
      </w:r>
      <w:r w:rsidR="00C9749C">
        <w:rPr>
          <w:rFonts w:ascii="Bookman Old Style" w:eastAsia="Times New Roman" w:hAnsi="Bookman Old Style" w:cs="Tahoma"/>
          <w:spacing w:val="-3"/>
          <w:sz w:val="22"/>
          <w:szCs w:val="22"/>
          <w:lang w:val="es-ES_tradnl" w:eastAsia="es-ES"/>
        </w:rPr>
        <w:t>.</w:t>
      </w:r>
    </w:p>
    <w:p w14:paraId="1FB43B65" w14:textId="77777777" w:rsidR="00CA6F88" w:rsidRPr="00CA6F88" w:rsidRDefault="00CA6F88" w:rsidP="00931414">
      <w:pPr>
        <w:widowControl w:val="0"/>
        <w:tabs>
          <w:tab w:val="left" w:pos="-720"/>
        </w:tabs>
        <w:suppressAutoHyphens/>
        <w:autoSpaceDE w:val="0"/>
        <w:autoSpaceDN w:val="0"/>
        <w:adjustRightInd w:val="0"/>
        <w:spacing w:line="276" w:lineRule="auto"/>
        <w:jc w:val="both"/>
        <w:rPr>
          <w:rFonts w:ascii="Bookman Old Style" w:eastAsia="Times New Roman" w:hAnsi="Bookman Old Style" w:cs="Tahoma"/>
          <w:spacing w:val="-3"/>
          <w:sz w:val="22"/>
          <w:szCs w:val="22"/>
          <w:highlight w:val="cyan"/>
          <w:lang w:val="es-ES_tradnl" w:eastAsia="es-ES"/>
        </w:rPr>
      </w:pPr>
    </w:p>
    <w:p w14:paraId="494C659C" w14:textId="62CCD2E0" w:rsidR="00DA39E2" w:rsidRPr="00C9749C" w:rsidRDefault="00CA6F88" w:rsidP="00931414">
      <w:pPr>
        <w:widowControl w:val="0"/>
        <w:tabs>
          <w:tab w:val="left" w:pos="-720"/>
        </w:tabs>
        <w:suppressAutoHyphens/>
        <w:autoSpaceDE w:val="0"/>
        <w:autoSpaceDN w:val="0"/>
        <w:adjustRightInd w:val="0"/>
        <w:spacing w:line="276" w:lineRule="auto"/>
        <w:jc w:val="both"/>
        <w:rPr>
          <w:rFonts w:ascii="Bookman Old Style" w:eastAsia="Times New Roman" w:hAnsi="Bookman Old Style" w:cs="Tahoma"/>
          <w:spacing w:val="-3"/>
          <w:sz w:val="22"/>
          <w:szCs w:val="22"/>
          <w:lang w:val="es-ES_tradnl" w:eastAsia="es-ES"/>
        </w:rPr>
      </w:pPr>
      <w:r w:rsidRPr="00C9749C">
        <w:rPr>
          <w:rFonts w:ascii="Bookman Old Style" w:eastAsia="Times New Roman" w:hAnsi="Bookman Old Style" w:cs="Tahoma"/>
          <w:spacing w:val="-3"/>
          <w:sz w:val="22"/>
          <w:szCs w:val="22"/>
          <w:lang w:val="es-ES_tradnl" w:eastAsia="es-ES"/>
        </w:rPr>
        <w:t>Que</w:t>
      </w:r>
      <w:r w:rsidR="00C9749C" w:rsidRPr="00C9749C">
        <w:rPr>
          <w:rFonts w:ascii="Bookman Old Style" w:eastAsia="Times New Roman" w:hAnsi="Bookman Old Style" w:cs="Tahoma"/>
          <w:spacing w:val="-3"/>
          <w:sz w:val="22"/>
          <w:szCs w:val="22"/>
          <w:lang w:val="es-ES_tradnl" w:eastAsia="es-ES"/>
        </w:rPr>
        <w:t>,</w:t>
      </w:r>
      <w:r w:rsidRPr="00C9749C">
        <w:rPr>
          <w:rFonts w:ascii="Bookman Old Style" w:eastAsia="Times New Roman" w:hAnsi="Bookman Old Style" w:cs="Tahoma"/>
          <w:spacing w:val="-3"/>
          <w:sz w:val="22"/>
          <w:szCs w:val="22"/>
          <w:lang w:val="es-ES_tradnl" w:eastAsia="es-ES"/>
        </w:rPr>
        <w:t xml:space="preserve"> la </w:t>
      </w:r>
      <w:r w:rsidR="00C9749C" w:rsidRPr="00C9749C">
        <w:rPr>
          <w:rFonts w:ascii="Bookman Old Style" w:eastAsia="Times New Roman" w:hAnsi="Bookman Old Style" w:cs="Tahoma"/>
          <w:spacing w:val="-3"/>
          <w:sz w:val="22"/>
          <w:szCs w:val="22"/>
          <w:lang w:val="es-ES_tradnl" w:eastAsia="es-ES"/>
        </w:rPr>
        <w:t xml:space="preserve">X </w:t>
      </w:r>
      <w:r w:rsidRPr="00C9749C">
        <w:rPr>
          <w:rFonts w:ascii="Bookman Old Style" w:eastAsia="Times New Roman" w:hAnsi="Bookman Old Style" w:cs="Tahoma"/>
          <w:spacing w:val="-3"/>
          <w:sz w:val="22"/>
          <w:szCs w:val="22"/>
          <w:lang w:val="es-ES_tradnl" w:eastAsia="es-ES"/>
        </w:rPr>
        <w:t>RENADI en consideración a lo precedentemente expuesto, ha determinado recoger en lo técnico todo lo positivo y pertinente de las recomendaciones de la CGE</w:t>
      </w:r>
      <w:r w:rsidR="00DA39E2" w:rsidRPr="00C9749C">
        <w:rPr>
          <w:rFonts w:ascii="Bookman Old Style" w:eastAsia="Times New Roman" w:hAnsi="Bookman Old Style" w:cs="Tahoma"/>
          <w:spacing w:val="-3"/>
          <w:sz w:val="22"/>
          <w:szCs w:val="22"/>
          <w:lang w:val="es-ES_tradnl" w:eastAsia="es-ES"/>
        </w:rPr>
        <w:t xml:space="preserve">, </w:t>
      </w:r>
      <w:r w:rsidRPr="00C9749C">
        <w:rPr>
          <w:rFonts w:ascii="Bookman Old Style" w:eastAsia="Times New Roman" w:hAnsi="Bookman Old Style" w:cs="Tahoma"/>
          <w:spacing w:val="-3"/>
          <w:sz w:val="22"/>
          <w:szCs w:val="22"/>
          <w:lang w:val="es-ES_tradnl" w:eastAsia="es-ES"/>
        </w:rPr>
        <w:t>en observancia siempre de</w:t>
      </w:r>
      <w:r w:rsidR="00C9749C" w:rsidRPr="00C9749C">
        <w:rPr>
          <w:rFonts w:ascii="Bookman Old Style" w:eastAsia="Times New Roman" w:hAnsi="Bookman Old Style" w:cs="Tahoma"/>
          <w:spacing w:val="-3"/>
          <w:sz w:val="22"/>
          <w:szCs w:val="22"/>
          <w:lang w:val="es-ES_tradnl" w:eastAsia="es-ES"/>
        </w:rPr>
        <w:t xml:space="preserve">l </w:t>
      </w:r>
      <w:r w:rsidRPr="00C9749C">
        <w:rPr>
          <w:rFonts w:ascii="Bookman Old Style" w:eastAsia="Times New Roman" w:hAnsi="Bookman Old Style" w:cs="Tahoma"/>
          <w:spacing w:val="-3"/>
          <w:sz w:val="22"/>
          <w:szCs w:val="22"/>
          <w:lang w:val="es-ES_tradnl" w:eastAsia="es-ES"/>
        </w:rPr>
        <w:t xml:space="preserve">punto de vista académico, </w:t>
      </w:r>
      <w:r w:rsidR="00DA39E2" w:rsidRPr="00C9749C">
        <w:rPr>
          <w:rFonts w:ascii="Bookman Old Style" w:eastAsia="Times New Roman" w:hAnsi="Bookman Old Style" w:cs="Tahoma"/>
          <w:spacing w:val="-3"/>
          <w:sz w:val="22"/>
          <w:szCs w:val="22"/>
          <w:lang w:val="es-ES_tradnl" w:eastAsia="es-ES"/>
        </w:rPr>
        <w:t xml:space="preserve">el sentido y el alcance de </w:t>
      </w:r>
      <w:r w:rsidR="00C9749C" w:rsidRPr="00C9749C">
        <w:rPr>
          <w:rFonts w:ascii="Bookman Old Style" w:eastAsia="Times New Roman" w:hAnsi="Bookman Old Style" w:cs="Tahoma"/>
          <w:spacing w:val="-3"/>
          <w:sz w:val="22"/>
          <w:szCs w:val="22"/>
          <w:lang w:val="es-ES_tradnl" w:eastAsia="es-ES"/>
        </w:rPr>
        <w:t>A</w:t>
      </w:r>
      <w:r w:rsidR="00DA39E2" w:rsidRPr="00C9749C">
        <w:rPr>
          <w:rFonts w:ascii="Bookman Old Style" w:eastAsia="Times New Roman" w:hAnsi="Bookman Old Style" w:cs="Tahoma"/>
          <w:spacing w:val="-3"/>
          <w:sz w:val="22"/>
          <w:szCs w:val="22"/>
          <w:lang w:val="es-ES_tradnl" w:eastAsia="es-ES"/>
        </w:rPr>
        <w:t xml:space="preserve">utonomía </w:t>
      </w:r>
      <w:r w:rsidR="00C9749C" w:rsidRPr="00C9749C">
        <w:rPr>
          <w:rFonts w:ascii="Bookman Old Style" w:eastAsia="Times New Roman" w:hAnsi="Bookman Old Style" w:cs="Tahoma"/>
          <w:spacing w:val="-3"/>
          <w:sz w:val="22"/>
          <w:szCs w:val="22"/>
          <w:lang w:val="es-ES_tradnl" w:eastAsia="es-ES"/>
        </w:rPr>
        <w:t>U</w:t>
      </w:r>
      <w:r w:rsidR="00DA39E2" w:rsidRPr="00C9749C">
        <w:rPr>
          <w:rFonts w:ascii="Bookman Old Style" w:eastAsia="Times New Roman" w:hAnsi="Bookman Old Style" w:cs="Tahoma"/>
          <w:spacing w:val="-3"/>
          <w:sz w:val="22"/>
          <w:szCs w:val="22"/>
          <w:lang w:val="es-ES_tradnl" w:eastAsia="es-ES"/>
        </w:rPr>
        <w:t xml:space="preserve">niversitaria establecida en la Constitución Política del Estado; es decir la libertad académica, la libertad </w:t>
      </w:r>
      <w:r w:rsidR="00C9749C" w:rsidRPr="00C9749C">
        <w:rPr>
          <w:rFonts w:ascii="Bookman Old Style" w:eastAsia="Times New Roman" w:hAnsi="Bookman Old Style" w:cs="Tahoma"/>
          <w:spacing w:val="-3"/>
          <w:sz w:val="22"/>
          <w:szCs w:val="22"/>
          <w:lang w:val="es-ES_tradnl" w:eastAsia="es-ES"/>
        </w:rPr>
        <w:t>de cátedra</w:t>
      </w:r>
      <w:r w:rsidRPr="00C9749C">
        <w:rPr>
          <w:rFonts w:ascii="Bookman Old Style" w:eastAsia="Times New Roman" w:hAnsi="Bookman Old Style" w:cs="Tahoma"/>
          <w:spacing w:val="-3"/>
          <w:sz w:val="22"/>
          <w:szCs w:val="22"/>
          <w:lang w:val="es-ES_tradnl" w:eastAsia="es-ES"/>
        </w:rPr>
        <w:t>, la liberta</w:t>
      </w:r>
      <w:r w:rsidR="00C9749C" w:rsidRPr="00C9749C">
        <w:rPr>
          <w:rFonts w:ascii="Bookman Old Style" w:eastAsia="Times New Roman" w:hAnsi="Bookman Old Style" w:cs="Tahoma"/>
          <w:spacing w:val="-3"/>
          <w:sz w:val="22"/>
          <w:szCs w:val="22"/>
          <w:lang w:val="es-ES_tradnl" w:eastAsia="es-ES"/>
        </w:rPr>
        <w:t>d</w:t>
      </w:r>
      <w:r w:rsidRPr="00C9749C">
        <w:rPr>
          <w:rFonts w:ascii="Bookman Old Style" w:eastAsia="Times New Roman" w:hAnsi="Bookman Old Style" w:cs="Tahoma"/>
          <w:spacing w:val="-3"/>
          <w:sz w:val="22"/>
          <w:szCs w:val="22"/>
          <w:lang w:val="es-ES_tradnl" w:eastAsia="es-ES"/>
        </w:rPr>
        <w:t xml:space="preserve"> en la </w:t>
      </w:r>
      <w:r w:rsidR="00DA39E2" w:rsidRPr="00C9749C">
        <w:rPr>
          <w:rFonts w:ascii="Bookman Old Style" w:eastAsia="Times New Roman" w:hAnsi="Bookman Old Style" w:cs="Tahoma"/>
          <w:spacing w:val="-3"/>
          <w:sz w:val="22"/>
          <w:szCs w:val="22"/>
          <w:lang w:val="es-ES_tradnl" w:eastAsia="es-ES"/>
        </w:rPr>
        <w:t xml:space="preserve">determinación de los fines de la </w:t>
      </w:r>
      <w:r w:rsidR="00C9749C" w:rsidRPr="00C9749C">
        <w:rPr>
          <w:rFonts w:ascii="Bookman Old Style" w:eastAsia="Times New Roman" w:hAnsi="Bookman Old Style" w:cs="Tahoma"/>
          <w:spacing w:val="-3"/>
          <w:sz w:val="22"/>
          <w:szCs w:val="22"/>
          <w:lang w:val="es-ES_tradnl" w:eastAsia="es-ES"/>
        </w:rPr>
        <w:t>Un</w:t>
      </w:r>
      <w:r w:rsidR="00DA39E2" w:rsidRPr="00C9749C">
        <w:rPr>
          <w:rFonts w:ascii="Bookman Old Style" w:eastAsia="Times New Roman" w:hAnsi="Bookman Old Style" w:cs="Tahoma"/>
          <w:spacing w:val="-3"/>
          <w:sz w:val="22"/>
          <w:szCs w:val="22"/>
          <w:lang w:val="es-ES_tradnl" w:eastAsia="es-ES"/>
        </w:rPr>
        <w:t xml:space="preserve">iversidad </w:t>
      </w:r>
      <w:r w:rsidR="00C9749C" w:rsidRPr="00C9749C">
        <w:rPr>
          <w:rFonts w:ascii="Bookman Old Style" w:eastAsia="Times New Roman" w:hAnsi="Bookman Old Style" w:cs="Tahoma"/>
          <w:spacing w:val="-3"/>
          <w:sz w:val="22"/>
          <w:szCs w:val="22"/>
          <w:lang w:val="es-ES_tradnl" w:eastAsia="es-ES"/>
        </w:rPr>
        <w:t>B</w:t>
      </w:r>
      <w:r w:rsidR="00DA39E2" w:rsidRPr="00C9749C">
        <w:rPr>
          <w:rFonts w:ascii="Bookman Old Style" w:eastAsia="Times New Roman" w:hAnsi="Bookman Old Style" w:cs="Tahoma"/>
          <w:spacing w:val="-3"/>
          <w:sz w:val="22"/>
          <w:szCs w:val="22"/>
          <w:lang w:val="es-ES_tradnl" w:eastAsia="es-ES"/>
        </w:rPr>
        <w:t xml:space="preserve">oliviana y la independencia política </w:t>
      </w:r>
      <w:r w:rsidRPr="00C9749C">
        <w:rPr>
          <w:rFonts w:ascii="Bookman Old Style" w:eastAsia="Times New Roman" w:hAnsi="Bookman Old Style" w:cs="Tahoma"/>
          <w:spacing w:val="-3"/>
          <w:sz w:val="22"/>
          <w:szCs w:val="22"/>
          <w:lang w:val="es-ES_tradnl" w:eastAsia="es-ES"/>
        </w:rPr>
        <w:t>del Sistema de la Universidad Boliviana r</w:t>
      </w:r>
      <w:r w:rsidR="00C9749C" w:rsidRPr="00C9749C">
        <w:rPr>
          <w:rFonts w:ascii="Bookman Old Style" w:eastAsia="Times New Roman" w:hAnsi="Bookman Old Style" w:cs="Tahoma"/>
          <w:spacing w:val="-3"/>
          <w:sz w:val="22"/>
          <w:szCs w:val="22"/>
          <w:lang w:val="es-ES_tradnl" w:eastAsia="es-ES"/>
        </w:rPr>
        <w:t>e</w:t>
      </w:r>
      <w:r w:rsidRPr="00C9749C">
        <w:rPr>
          <w:rFonts w:ascii="Bookman Old Style" w:eastAsia="Times New Roman" w:hAnsi="Bookman Old Style" w:cs="Tahoma"/>
          <w:spacing w:val="-3"/>
          <w:sz w:val="22"/>
          <w:szCs w:val="22"/>
          <w:lang w:val="es-ES_tradnl" w:eastAsia="es-ES"/>
        </w:rPr>
        <w:t>spect</w:t>
      </w:r>
      <w:r w:rsidR="00DA39E2" w:rsidRPr="00C9749C">
        <w:rPr>
          <w:rFonts w:ascii="Bookman Old Style" w:eastAsia="Times New Roman" w:hAnsi="Bookman Old Style" w:cs="Tahoma"/>
          <w:spacing w:val="-3"/>
          <w:sz w:val="22"/>
          <w:szCs w:val="22"/>
          <w:lang w:val="es-ES_tradnl" w:eastAsia="es-ES"/>
        </w:rPr>
        <w:t>o a los poderes del Estado.</w:t>
      </w:r>
    </w:p>
    <w:p w14:paraId="36F5CF6E" w14:textId="01BA5BC5" w:rsidR="001E2CF0" w:rsidRPr="00004C80" w:rsidRDefault="00637FAA" w:rsidP="00931414">
      <w:pPr>
        <w:widowControl w:val="0"/>
        <w:tabs>
          <w:tab w:val="left" w:pos="-720"/>
        </w:tabs>
        <w:suppressAutoHyphens/>
        <w:autoSpaceDE w:val="0"/>
        <w:autoSpaceDN w:val="0"/>
        <w:adjustRightInd w:val="0"/>
        <w:spacing w:line="276" w:lineRule="auto"/>
        <w:jc w:val="both"/>
        <w:rPr>
          <w:rFonts w:ascii="Bookman Old Style" w:eastAsia="Times New Roman" w:hAnsi="Bookman Old Style" w:cs="Tahoma"/>
          <w:spacing w:val="-3"/>
          <w:sz w:val="22"/>
          <w:szCs w:val="22"/>
          <w:lang w:val="es-ES_tradnl" w:eastAsia="es-ES"/>
        </w:rPr>
      </w:pPr>
      <w:r w:rsidRPr="006E18C3">
        <w:rPr>
          <w:rFonts w:ascii="Bookman Old Style" w:eastAsia="Times New Roman" w:hAnsi="Bookman Old Style" w:cs="Tahoma"/>
          <w:spacing w:val="-3"/>
          <w:sz w:val="22"/>
          <w:szCs w:val="22"/>
          <w:lang w:val="es-ES_tradnl" w:eastAsia="es-ES"/>
        </w:rPr>
        <w:lastRenderedPageBreak/>
        <w:t>Que, la actualización de</w:t>
      </w:r>
      <w:r w:rsidR="006752AD">
        <w:rPr>
          <w:rFonts w:ascii="Bookman Old Style" w:eastAsia="Times New Roman" w:hAnsi="Bookman Old Style" w:cs="Tahoma"/>
          <w:spacing w:val="-3"/>
          <w:sz w:val="22"/>
          <w:szCs w:val="22"/>
          <w:lang w:val="es-ES_tradnl" w:eastAsia="es-ES"/>
        </w:rPr>
        <w:t xml:space="preserve">l </w:t>
      </w:r>
      <w:r w:rsidR="006752AD" w:rsidRPr="006E18C3">
        <w:rPr>
          <w:rFonts w:ascii="Bookman Old Style" w:eastAsia="Times New Roman" w:hAnsi="Bookman Old Style" w:cs="Tahoma"/>
          <w:spacing w:val="-3"/>
          <w:sz w:val="22"/>
          <w:szCs w:val="22"/>
          <w:lang w:val="es-ES_tradnl" w:eastAsia="es-ES"/>
        </w:rPr>
        <w:t>Sistema de Planificación Integral del SUB</w:t>
      </w:r>
      <w:r w:rsidR="006752AD">
        <w:rPr>
          <w:rFonts w:ascii="Bookman Old Style" w:eastAsia="Times New Roman" w:hAnsi="Bookman Old Style" w:cs="Tahoma"/>
          <w:spacing w:val="-3"/>
          <w:sz w:val="22"/>
          <w:szCs w:val="22"/>
          <w:lang w:val="es-ES_tradnl" w:eastAsia="es-ES"/>
        </w:rPr>
        <w:t xml:space="preserve">, en cuanto a su normativa e </w:t>
      </w:r>
      <w:r w:rsidRPr="006E18C3">
        <w:rPr>
          <w:rFonts w:ascii="Bookman Old Style" w:eastAsia="Times New Roman" w:hAnsi="Bookman Old Style" w:cs="Tahoma"/>
          <w:spacing w:val="-3"/>
          <w:sz w:val="22"/>
          <w:szCs w:val="22"/>
          <w:lang w:val="es-ES_tradnl" w:eastAsia="es-ES"/>
        </w:rPr>
        <w:t xml:space="preserve">instrumentos técnicos, </w:t>
      </w:r>
      <w:r w:rsidR="00C9749C" w:rsidRPr="006E18C3">
        <w:rPr>
          <w:rFonts w:ascii="Bookman Old Style" w:eastAsia="Times New Roman" w:hAnsi="Bookman Old Style" w:cs="Tahoma"/>
          <w:spacing w:val="-3"/>
          <w:sz w:val="22"/>
          <w:szCs w:val="22"/>
          <w:lang w:val="es-ES_tradnl" w:eastAsia="es-ES"/>
        </w:rPr>
        <w:t xml:space="preserve">contribuye a la </w:t>
      </w:r>
      <w:r w:rsidR="00CA6F88" w:rsidRPr="006E18C3">
        <w:rPr>
          <w:rFonts w:ascii="Bookman Old Style" w:eastAsia="Times New Roman" w:hAnsi="Bookman Old Style" w:cs="Tahoma"/>
          <w:spacing w:val="-3"/>
          <w:sz w:val="22"/>
          <w:szCs w:val="22"/>
          <w:lang w:val="es-ES_tradnl" w:eastAsia="es-ES"/>
        </w:rPr>
        <w:t xml:space="preserve">modernización </w:t>
      </w:r>
      <w:r w:rsidR="009465CE" w:rsidRPr="006E18C3">
        <w:rPr>
          <w:rFonts w:ascii="Bookman Old Style" w:eastAsia="Times New Roman" w:hAnsi="Bookman Old Style" w:cs="Tahoma"/>
          <w:spacing w:val="-3"/>
          <w:sz w:val="22"/>
          <w:szCs w:val="22"/>
          <w:lang w:val="es-ES_tradnl" w:eastAsia="es-ES"/>
        </w:rPr>
        <w:t xml:space="preserve">de los procesos de planificación </w:t>
      </w:r>
      <w:r w:rsidR="006E18C3" w:rsidRPr="006E18C3">
        <w:rPr>
          <w:rFonts w:ascii="Bookman Old Style" w:eastAsia="Times New Roman" w:hAnsi="Bookman Old Style" w:cs="Tahoma"/>
          <w:spacing w:val="-3"/>
          <w:sz w:val="22"/>
          <w:szCs w:val="22"/>
          <w:lang w:val="es-ES_tradnl" w:eastAsia="es-ES"/>
        </w:rPr>
        <w:t xml:space="preserve">de mediano y corto plazo </w:t>
      </w:r>
      <w:r w:rsidR="006E18C3">
        <w:rPr>
          <w:rFonts w:ascii="Bookman Old Style" w:eastAsia="Times New Roman" w:hAnsi="Bookman Old Style" w:cs="Tahoma"/>
          <w:spacing w:val="-3"/>
          <w:sz w:val="22"/>
          <w:szCs w:val="22"/>
          <w:lang w:val="es-ES_tradnl" w:eastAsia="es-ES"/>
        </w:rPr>
        <w:t>de</w:t>
      </w:r>
      <w:r w:rsidR="00AF1885" w:rsidRPr="006E18C3">
        <w:rPr>
          <w:rFonts w:ascii="Bookman Old Style" w:eastAsia="Times New Roman" w:hAnsi="Bookman Old Style" w:cs="Tahoma"/>
          <w:spacing w:val="-3"/>
          <w:sz w:val="22"/>
          <w:szCs w:val="22"/>
          <w:lang w:val="es-ES_tradnl" w:eastAsia="es-ES"/>
        </w:rPr>
        <w:t xml:space="preserve"> las </w:t>
      </w:r>
      <w:r w:rsidR="006E18C3" w:rsidRPr="006E18C3">
        <w:rPr>
          <w:rFonts w:ascii="Bookman Old Style" w:eastAsia="Times New Roman" w:hAnsi="Bookman Old Style" w:cs="Tahoma"/>
          <w:spacing w:val="-3"/>
          <w:sz w:val="22"/>
          <w:szCs w:val="22"/>
          <w:lang w:val="es-ES_tradnl" w:eastAsia="es-ES"/>
        </w:rPr>
        <w:t>Universidades</w:t>
      </w:r>
      <w:r w:rsidR="00AF1885" w:rsidRPr="006E18C3">
        <w:rPr>
          <w:rFonts w:ascii="Bookman Old Style" w:eastAsia="Times New Roman" w:hAnsi="Bookman Old Style" w:cs="Tahoma"/>
          <w:spacing w:val="-3"/>
          <w:sz w:val="22"/>
          <w:szCs w:val="22"/>
          <w:lang w:val="es-ES_tradnl" w:eastAsia="es-ES"/>
        </w:rPr>
        <w:t>, y del propio PDU</w:t>
      </w:r>
      <w:r w:rsidR="006E18C3" w:rsidRPr="006E18C3">
        <w:rPr>
          <w:rFonts w:ascii="Bookman Old Style" w:eastAsia="Times New Roman" w:hAnsi="Bookman Old Style" w:cs="Tahoma"/>
          <w:spacing w:val="-3"/>
          <w:sz w:val="22"/>
          <w:szCs w:val="22"/>
          <w:lang w:val="es-ES_tradnl" w:eastAsia="es-ES"/>
        </w:rPr>
        <w:t xml:space="preserve"> en el nuevo ciclo 2026-2030</w:t>
      </w:r>
      <w:r w:rsidR="00AF1885" w:rsidRPr="006E18C3">
        <w:rPr>
          <w:rFonts w:ascii="Bookman Old Style" w:eastAsia="Times New Roman" w:hAnsi="Bookman Old Style" w:cs="Tahoma"/>
          <w:spacing w:val="-3"/>
          <w:sz w:val="22"/>
          <w:szCs w:val="22"/>
          <w:lang w:val="es-ES_tradnl" w:eastAsia="es-ES"/>
        </w:rPr>
        <w:t xml:space="preserve">, </w:t>
      </w:r>
      <w:r w:rsidR="00CA6F88" w:rsidRPr="006E18C3">
        <w:rPr>
          <w:rFonts w:ascii="Bookman Old Style" w:eastAsia="Times New Roman" w:hAnsi="Bookman Old Style" w:cs="Tahoma"/>
          <w:spacing w:val="-3"/>
          <w:sz w:val="22"/>
          <w:szCs w:val="22"/>
          <w:lang w:val="es-ES_tradnl" w:eastAsia="es-ES"/>
        </w:rPr>
        <w:t>fortalec</w:t>
      </w:r>
      <w:r w:rsidR="001126F4">
        <w:rPr>
          <w:rFonts w:ascii="Bookman Old Style" w:eastAsia="Times New Roman" w:hAnsi="Bookman Old Style" w:cs="Tahoma"/>
          <w:spacing w:val="-3"/>
          <w:sz w:val="22"/>
          <w:szCs w:val="22"/>
          <w:lang w:val="es-ES_tradnl" w:eastAsia="es-ES"/>
        </w:rPr>
        <w:t xml:space="preserve">e </w:t>
      </w:r>
      <w:r w:rsidR="00CA6F88" w:rsidRPr="006E18C3">
        <w:rPr>
          <w:rFonts w:ascii="Bookman Old Style" w:eastAsia="Times New Roman" w:hAnsi="Bookman Old Style" w:cs="Tahoma"/>
          <w:spacing w:val="-3"/>
          <w:sz w:val="22"/>
          <w:szCs w:val="22"/>
          <w:lang w:val="es-ES_tradnl" w:eastAsia="es-ES"/>
        </w:rPr>
        <w:t>el enfoque por resultados</w:t>
      </w:r>
      <w:r w:rsidR="006752AD">
        <w:rPr>
          <w:rFonts w:ascii="Bookman Old Style" w:eastAsia="Times New Roman" w:hAnsi="Bookman Old Style" w:cs="Tahoma"/>
          <w:spacing w:val="-3"/>
          <w:sz w:val="22"/>
          <w:szCs w:val="22"/>
          <w:lang w:val="es-ES_tradnl" w:eastAsia="es-ES"/>
        </w:rPr>
        <w:t xml:space="preserve">, </w:t>
      </w:r>
      <w:r w:rsidR="001126F4">
        <w:rPr>
          <w:rFonts w:ascii="Bookman Old Style" w:eastAsia="Times New Roman" w:hAnsi="Bookman Old Style" w:cs="Tahoma"/>
          <w:spacing w:val="-3"/>
          <w:sz w:val="22"/>
          <w:szCs w:val="22"/>
          <w:lang w:val="es-ES_tradnl" w:eastAsia="es-ES"/>
        </w:rPr>
        <w:t xml:space="preserve">visibiliza la contribución de las universidades al desarrollo nacional, </w:t>
      </w:r>
      <w:r w:rsidR="006E18C3" w:rsidRPr="006E18C3">
        <w:rPr>
          <w:rFonts w:ascii="Bookman Old Style" w:eastAsia="Times New Roman" w:hAnsi="Bookman Old Style" w:cs="Tahoma"/>
          <w:spacing w:val="-3"/>
          <w:sz w:val="22"/>
          <w:szCs w:val="22"/>
          <w:lang w:val="es-ES_tradnl" w:eastAsia="es-ES"/>
        </w:rPr>
        <w:t>afirma la Autonomía Universitari</w:t>
      </w:r>
      <w:r w:rsidR="006E18C3">
        <w:rPr>
          <w:rFonts w:ascii="Bookman Old Style" w:eastAsia="Times New Roman" w:hAnsi="Bookman Old Style" w:cs="Tahoma"/>
          <w:spacing w:val="-3"/>
          <w:sz w:val="22"/>
          <w:szCs w:val="22"/>
          <w:lang w:val="es-ES_tradnl" w:eastAsia="es-ES"/>
        </w:rPr>
        <w:t>a</w:t>
      </w:r>
      <w:r w:rsidR="006752AD">
        <w:rPr>
          <w:rFonts w:ascii="Bookman Old Style" w:eastAsia="Times New Roman" w:hAnsi="Bookman Old Style" w:cs="Tahoma"/>
          <w:spacing w:val="-3"/>
          <w:sz w:val="22"/>
          <w:szCs w:val="22"/>
          <w:lang w:val="es-ES_tradnl" w:eastAsia="es-ES"/>
        </w:rPr>
        <w:t xml:space="preserve"> y establec</w:t>
      </w:r>
      <w:r w:rsidR="001126F4">
        <w:rPr>
          <w:rFonts w:ascii="Bookman Old Style" w:eastAsia="Times New Roman" w:hAnsi="Bookman Old Style" w:cs="Tahoma"/>
          <w:spacing w:val="-3"/>
          <w:sz w:val="22"/>
          <w:szCs w:val="22"/>
          <w:lang w:val="es-ES_tradnl" w:eastAsia="es-ES"/>
        </w:rPr>
        <w:t xml:space="preserve">e un </w:t>
      </w:r>
      <w:r w:rsidR="006752AD">
        <w:rPr>
          <w:rFonts w:ascii="Bookman Old Style" w:eastAsia="Times New Roman" w:hAnsi="Bookman Old Style" w:cs="Tahoma"/>
          <w:spacing w:val="-3"/>
          <w:sz w:val="22"/>
          <w:szCs w:val="22"/>
          <w:lang w:val="es-ES_tradnl" w:eastAsia="es-ES"/>
        </w:rPr>
        <w:t xml:space="preserve">mecanismo propio de articulación </w:t>
      </w:r>
      <w:r w:rsidR="001126F4">
        <w:rPr>
          <w:rFonts w:ascii="Bookman Old Style" w:eastAsia="Times New Roman" w:hAnsi="Bookman Old Style" w:cs="Tahoma"/>
          <w:spacing w:val="-3"/>
          <w:sz w:val="22"/>
          <w:szCs w:val="22"/>
          <w:lang w:val="es-ES_tradnl" w:eastAsia="es-ES"/>
        </w:rPr>
        <w:t xml:space="preserve">de la planificación integral universitaria </w:t>
      </w:r>
      <w:r w:rsidR="006752AD">
        <w:rPr>
          <w:rFonts w:ascii="Bookman Old Style" w:eastAsia="Times New Roman" w:hAnsi="Bookman Old Style" w:cs="Tahoma"/>
          <w:spacing w:val="-3"/>
          <w:sz w:val="22"/>
          <w:szCs w:val="22"/>
          <w:lang w:val="es-ES_tradnl" w:eastAsia="es-ES"/>
        </w:rPr>
        <w:t xml:space="preserve">con </w:t>
      </w:r>
      <w:r w:rsidR="001126F4">
        <w:rPr>
          <w:rFonts w:ascii="Bookman Old Style" w:eastAsia="Times New Roman" w:hAnsi="Bookman Old Style" w:cs="Tahoma"/>
          <w:spacing w:val="-3"/>
          <w:sz w:val="22"/>
          <w:szCs w:val="22"/>
          <w:lang w:val="es-ES_tradnl" w:eastAsia="es-ES"/>
        </w:rPr>
        <w:t>la p</w:t>
      </w:r>
      <w:r w:rsidR="006752AD">
        <w:rPr>
          <w:rFonts w:ascii="Bookman Old Style" w:eastAsia="Times New Roman" w:hAnsi="Bookman Old Style" w:cs="Tahoma"/>
          <w:spacing w:val="-3"/>
          <w:sz w:val="22"/>
          <w:szCs w:val="22"/>
          <w:lang w:val="es-ES_tradnl" w:eastAsia="es-ES"/>
        </w:rPr>
        <w:t xml:space="preserve">lanificación </w:t>
      </w:r>
      <w:r w:rsidR="001126F4">
        <w:rPr>
          <w:rFonts w:ascii="Bookman Old Style" w:eastAsia="Times New Roman" w:hAnsi="Bookman Old Style" w:cs="Tahoma"/>
          <w:spacing w:val="-3"/>
          <w:sz w:val="22"/>
          <w:szCs w:val="22"/>
          <w:lang w:val="es-ES_tradnl" w:eastAsia="es-ES"/>
        </w:rPr>
        <w:t>i</w:t>
      </w:r>
      <w:r w:rsidR="006752AD">
        <w:rPr>
          <w:rFonts w:ascii="Bookman Old Style" w:eastAsia="Times New Roman" w:hAnsi="Bookman Old Style" w:cs="Tahoma"/>
          <w:spacing w:val="-3"/>
          <w:sz w:val="22"/>
          <w:szCs w:val="22"/>
          <w:lang w:val="es-ES_tradnl" w:eastAsia="es-ES"/>
        </w:rPr>
        <w:t>ntegral del Estado</w:t>
      </w:r>
      <w:r w:rsidR="006E18C3" w:rsidRPr="006E18C3">
        <w:rPr>
          <w:rFonts w:ascii="Bookman Old Style" w:eastAsia="Times New Roman" w:hAnsi="Bookman Old Style" w:cs="Tahoma"/>
          <w:spacing w:val="-3"/>
          <w:sz w:val="22"/>
          <w:szCs w:val="22"/>
          <w:lang w:val="es-ES_tradnl" w:eastAsia="es-ES"/>
        </w:rPr>
        <w:t>.</w:t>
      </w:r>
    </w:p>
    <w:p w14:paraId="1640B23A" w14:textId="77777777" w:rsidR="00931414" w:rsidRPr="00004C80" w:rsidRDefault="00931414" w:rsidP="00931414">
      <w:pPr>
        <w:widowControl w:val="0"/>
        <w:tabs>
          <w:tab w:val="left" w:pos="-720"/>
        </w:tabs>
        <w:suppressAutoHyphens/>
        <w:autoSpaceDE w:val="0"/>
        <w:autoSpaceDN w:val="0"/>
        <w:adjustRightInd w:val="0"/>
        <w:spacing w:line="276" w:lineRule="auto"/>
        <w:jc w:val="both"/>
        <w:rPr>
          <w:rFonts w:ascii="Bookman Old Style" w:eastAsia="Times New Roman" w:hAnsi="Bookman Old Style" w:cs="Tahoma"/>
          <w:spacing w:val="-3"/>
          <w:sz w:val="22"/>
          <w:szCs w:val="22"/>
          <w:lang w:val="es-ES_tradnl" w:eastAsia="es-ES"/>
        </w:rPr>
      </w:pPr>
    </w:p>
    <w:p w14:paraId="4B022A45" w14:textId="77777777" w:rsidR="00931414" w:rsidRPr="00004C80" w:rsidRDefault="00931414" w:rsidP="00931414">
      <w:pPr>
        <w:spacing w:line="0" w:lineRule="atLeast"/>
        <w:jc w:val="both"/>
        <w:rPr>
          <w:rFonts w:ascii="Bookman Old Style" w:hAnsi="Bookman Old Style" w:cs="Tahoma"/>
          <w:b/>
          <w:sz w:val="22"/>
          <w:szCs w:val="22"/>
          <w:lang w:val="es-ES_tradnl"/>
        </w:rPr>
      </w:pPr>
      <w:r w:rsidRPr="00004C80">
        <w:rPr>
          <w:rFonts w:ascii="Bookman Old Style" w:hAnsi="Bookman Old Style" w:cs="Tahoma"/>
          <w:b/>
          <w:sz w:val="22"/>
          <w:szCs w:val="22"/>
          <w:lang w:val="es-ES_tradnl"/>
        </w:rPr>
        <w:t xml:space="preserve">POR TANTO </w:t>
      </w:r>
    </w:p>
    <w:p w14:paraId="2D1C72AF" w14:textId="77777777" w:rsidR="00931414" w:rsidRPr="00004C80" w:rsidRDefault="00931414" w:rsidP="00931414">
      <w:pPr>
        <w:spacing w:line="0" w:lineRule="atLeast"/>
        <w:jc w:val="both"/>
        <w:rPr>
          <w:rFonts w:ascii="Bookman Old Style" w:hAnsi="Bookman Old Style" w:cs="Tahoma"/>
          <w:sz w:val="22"/>
          <w:szCs w:val="22"/>
          <w:lang w:val="es-ES_tradnl"/>
        </w:rPr>
      </w:pPr>
      <w:r w:rsidRPr="00004C80">
        <w:rPr>
          <w:rFonts w:ascii="Bookman Old Style" w:hAnsi="Bookman Old Style" w:cs="Tahoma"/>
          <w:sz w:val="22"/>
          <w:szCs w:val="22"/>
          <w:lang w:val="es-ES_tradnl"/>
        </w:rPr>
        <w:t xml:space="preserve"> </w:t>
      </w:r>
    </w:p>
    <w:p w14:paraId="37686058" w14:textId="61E845DF" w:rsidR="00931414" w:rsidRPr="00004C80" w:rsidRDefault="00931414" w:rsidP="00931414">
      <w:pPr>
        <w:spacing w:line="0" w:lineRule="atLeast"/>
        <w:jc w:val="both"/>
        <w:rPr>
          <w:rFonts w:ascii="Bookman Old Style" w:hAnsi="Bookman Old Style" w:cs="Tahoma"/>
          <w:sz w:val="22"/>
          <w:szCs w:val="22"/>
          <w:lang w:val="es-ES_tradnl"/>
        </w:rPr>
      </w:pPr>
      <w:r w:rsidRPr="00004C80">
        <w:rPr>
          <w:rFonts w:ascii="Bookman Old Style" w:hAnsi="Bookman Old Style" w:cs="Tahoma"/>
          <w:b/>
          <w:sz w:val="22"/>
          <w:szCs w:val="22"/>
          <w:lang w:val="es-ES_tradnl"/>
        </w:rPr>
        <w:t xml:space="preserve">LA </w:t>
      </w:r>
      <w:r w:rsidR="00D12B71">
        <w:rPr>
          <w:rFonts w:ascii="Bookman Old Style" w:hAnsi="Bookman Old Style" w:cs="Tahoma"/>
          <w:b/>
          <w:sz w:val="22"/>
          <w:szCs w:val="22"/>
          <w:lang w:val="es-ES_tradnl"/>
        </w:rPr>
        <w:t>X</w:t>
      </w:r>
      <w:r w:rsidRPr="00004C80">
        <w:rPr>
          <w:rFonts w:ascii="Bookman Old Style" w:hAnsi="Bookman Old Style" w:cs="Tahoma"/>
          <w:b/>
          <w:sz w:val="22"/>
          <w:szCs w:val="22"/>
          <w:lang w:val="es-ES_tradnl"/>
        </w:rPr>
        <w:t xml:space="preserve"> REUNI</w:t>
      </w:r>
      <w:r w:rsidR="001F717B">
        <w:rPr>
          <w:rFonts w:ascii="Bookman Old Style" w:hAnsi="Bookman Old Style" w:cs="Tahoma"/>
          <w:b/>
          <w:sz w:val="22"/>
          <w:szCs w:val="22"/>
          <w:lang w:val="es-ES_tradnl"/>
        </w:rPr>
        <w:t>Ó</w:t>
      </w:r>
      <w:r w:rsidRPr="00004C80">
        <w:rPr>
          <w:rFonts w:ascii="Bookman Old Style" w:hAnsi="Bookman Old Style" w:cs="Tahoma"/>
          <w:b/>
          <w:sz w:val="22"/>
          <w:szCs w:val="22"/>
          <w:lang w:val="es-ES_tradnl"/>
        </w:rPr>
        <w:t>N NACIONAL DE DESARROLLO INSTITUCIONAL</w:t>
      </w:r>
      <w:r w:rsidRPr="00004C80">
        <w:rPr>
          <w:rFonts w:ascii="Bookman Old Style" w:hAnsi="Bookman Old Style" w:cs="Tahoma"/>
          <w:sz w:val="22"/>
          <w:szCs w:val="22"/>
          <w:lang w:val="es-ES_tradnl"/>
        </w:rPr>
        <w:t>, en uso de sus atribuciones,</w:t>
      </w:r>
    </w:p>
    <w:p w14:paraId="3A44CF5C" w14:textId="77777777" w:rsidR="00931414" w:rsidRPr="00004C80" w:rsidRDefault="00931414" w:rsidP="00931414">
      <w:pPr>
        <w:spacing w:line="0" w:lineRule="atLeast"/>
        <w:jc w:val="both"/>
        <w:rPr>
          <w:rFonts w:ascii="Bookman Old Style" w:hAnsi="Bookman Old Style" w:cs="Tahoma"/>
          <w:sz w:val="22"/>
          <w:szCs w:val="22"/>
          <w:lang w:val="es-ES_tradnl"/>
        </w:rPr>
      </w:pPr>
    </w:p>
    <w:p w14:paraId="7CD3C985" w14:textId="77777777" w:rsidR="00931414" w:rsidRPr="00004C80" w:rsidRDefault="00931414" w:rsidP="00931414">
      <w:pPr>
        <w:spacing w:line="0" w:lineRule="atLeast"/>
        <w:jc w:val="both"/>
        <w:rPr>
          <w:rFonts w:ascii="Bookman Old Style" w:hAnsi="Bookman Old Style" w:cs="Tahoma"/>
          <w:b/>
          <w:sz w:val="22"/>
          <w:szCs w:val="22"/>
          <w:lang w:val="es-ES_tradnl"/>
        </w:rPr>
      </w:pPr>
      <w:r w:rsidRPr="00004C80">
        <w:rPr>
          <w:rFonts w:ascii="Bookman Old Style" w:hAnsi="Bookman Old Style" w:cs="Tahoma"/>
          <w:b/>
          <w:sz w:val="22"/>
          <w:szCs w:val="22"/>
          <w:lang w:val="es-ES_tradnl"/>
        </w:rPr>
        <w:t xml:space="preserve">RESUELVE:     </w:t>
      </w:r>
    </w:p>
    <w:p w14:paraId="63E6EFFF" w14:textId="77777777" w:rsidR="00931414" w:rsidRPr="00004C80" w:rsidRDefault="00931414" w:rsidP="00931414">
      <w:pPr>
        <w:spacing w:line="0" w:lineRule="atLeast"/>
        <w:jc w:val="both"/>
        <w:rPr>
          <w:rFonts w:ascii="Bookman Old Style" w:hAnsi="Bookman Old Style"/>
          <w:b/>
          <w:sz w:val="22"/>
          <w:szCs w:val="22"/>
          <w:lang w:val="es-ES_tradnl"/>
        </w:rPr>
      </w:pPr>
    </w:p>
    <w:p w14:paraId="119F5011" w14:textId="783A2646" w:rsidR="00277E76" w:rsidRPr="009C18C4" w:rsidRDefault="00931414" w:rsidP="00560720">
      <w:pPr>
        <w:spacing w:line="0" w:lineRule="atLeast"/>
        <w:jc w:val="both"/>
        <w:rPr>
          <w:rFonts w:ascii="Bookman Old Style" w:hAnsi="Bookman Old Style"/>
          <w:sz w:val="22"/>
          <w:szCs w:val="22"/>
        </w:rPr>
      </w:pPr>
      <w:r w:rsidRPr="009C18C4">
        <w:rPr>
          <w:rFonts w:ascii="Bookman Old Style" w:hAnsi="Bookman Old Style"/>
          <w:b/>
          <w:sz w:val="22"/>
          <w:szCs w:val="22"/>
          <w:lang w:val="es-ES_tradnl"/>
        </w:rPr>
        <w:t>ARTICULO</w:t>
      </w:r>
      <w:r w:rsidR="00560720" w:rsidRPr="009C18C4">
        <w:rPr>
          <w:rFonts w:ascii="Bookman Old Style" w:hAnsi="Bookman Old Style"/>
          <w:b/>
          <w:sz w:val="22"/>
          <w:szCs w:val="22"/>
          <w:lang w:val="es-ES_tradnl"/>
        </w:rPr>
        <w:t xml:space="preserve"> </w:t>
      </w:r>
      <w:r w:rsidR="00277E76" w:rsidRPr="009C18C4">
        <w:rPr>
          <w:rFonts w:ascii="Bookman Old Style" w:hAnsi="Bookman Old Style"/>
          <w:b/>
          <w:sz w:val="22"/>
          <w:szCs w:val="22"/>
          <w:lang w:val="es-ES_tradnl"/>
        </w:rPr>
        <w:t>PRIMERO</w:t>
      </w:r>
      <w:r w:rsidRPr="009C18C4">
        <w:rPr>
          <w:rFonts w:ascii="Bookman Old Style" w:hAnsi="Bookman Old Style"/>
          <w:b/>
          <w:sz w:val="22"/>
          <w:szCs w:val="22"/>
          <w:lang w:val="es-ES_tradnl"/>
        </w:rPr>
        <w:t xml:space="preserve">: </w:t>
      </w:r>
      <w:r w:rsidR="00560720" w:rsidRPr="009C18C4">
        <w:rPr>
          <w:rFonts w:ascii="Bookman Old Style" w:hAnsi="Bookman Old Style"/>
          <w:sz w:val="22"/>
          <w:szCs w:val="22"/>
        </w:rPr>
        <w:t>RECOMENDAR a la VIII Conferencia Nacional Ordinaria de Universidades</w:t>
      </w:r>
      <w:r w:rsidR="009C18C4" w:rsidRPr="009C18C4">
        <w:rPr>
          <w:rFonts w:ascii="Bookman Old Style" w:hAnsi="Bookman Old Style"/>
          <w:sz w:val="22"/>
          <w:szCs w:val="22"/>
        </w:rPr>
        <w:t>,</w:t>
      </w:r>
      <w:r w:rsidR="00560720" w:rsidRPr="009C18C4">
        <w:rPr>
          <w:rFonts w:ascii="Bookman Old Style" w:hAnsi="Bookman Old Style"/>
          <w:sz w:val="22"/>
          <w:szCs w:val="22"/>
        </w:rPr>
        <w:t xml:space="preserve"> la aprobación de </w:t>
      </w:r>
      <w:r w:rsidR="00A05B7E" w:rsidRPr="009C18C4">
        <w:rPr>
          <w:rFonts w:ascii="Bookman Old Style" w:hAnsi="Bookman Old Style"/>
          <w:sz w:val="22"/>
          <w:szCs w:val="22"/>
        </w:rPr>
        <w:t xml:space="preserve">los ajustes a la </w:t>
      </w:r>
      <w:r w:rsidR="00277E76" w:rsidRPr="009C18C4">
        <w:rPr>
          <w:rFonts w:ascii="Bookman Old Style" w:hAnsi="Bookman Old Style"/>
          <w:sz w:val="22"/>
          <w:szCs w:val="22"/>
        </w:rPr>
        <w:t>N</w:t>
      </w:r>
      <w:r w:rsidR="00A05B7E" w:rsidRPr="009C18C4">
        <w:rPr>
          <w:rFonts w:ascii="Bookman Old Style" w:hAnsi="Bookman Old Style"/>
          <w:sz w:val="22"/>
          <w:szCs w:val="22"/>
        </w:rPr>
        <w:t>ormativa e Instrumentos</w:t>
      </w:r>
      <w:r w:rsidR="005854EF" w:rsidRPr="009C18C4">
        <w:rPr>
          <w:rFonts w:ascii="Bookman Old Style" w:hAnsi="Bookman Old Style"/>
          <w:sz w:val="22"/>
          <w:szCs w:val="22"/>
        </w:rPr>
        <w:t xml:space="preserve"> del Sistema de Planificación</w:t>
      </w:r>
      <w:r w:rsidR="00277E76" w:rsidRPr="009C18C4">
        <w:rPr>
          <w:rFonts w:ascii="Bookman Old Style" w:hAnsi="Bookman Old Style"/>
          <w:sz w:val="22"/>
          <w:szCs w:val="22"/>
        </w:rPr>
        <w:t xml:space="preserve"> Integral </w:t>
      </w:r>
      <w:r w:rsidR="005854EF" w:rsidRPr="009C18C4">
        <w:rPr>
          <w:rFonts w:ascii="Bookman Old Style" w:hAnsi="Bookman Old Style"/>
          <w:sz w:val="22"/>
          <w:szCs w:val="22"/>
        </w:rPr>
        <w:t>del SUB</w:t>
      </w:r>
      <w:r w:rsidR="00A05B7E" w:rsidRPr="009C18C4">
        <w:rPr>
          <w:rFonts w:ascii="Bookman Old Style" w:hAnsi="Bookman Old Style"/>
          <w:sz w:val="22"/>
          <w:szCs w:val="22"/>
        </w:rPr>
        <w:t>:</w:t>
      </w:r>
    </w:p>
    <w:p w14:paraId="591B1539" w14:textId="77777777" w:rsidR="00277E76" w:rsidRPr="009C18C4" w:rsidRDefault="00277E76" w:rsidP="00560720">
      <w:pPr>
        <w:spacing w:line="0" w:lineRule="atLeast"/>
        <w:jc w:val="both"/>
        <w:rPr>
          <w:rFonts w:ascii="Bookman Old Style" w:hAnsi="Bookman Old Style"/>
          <w:sz w:val="22"/>
          <w:szCs w:val="22"/>
        </w:rPr>
      </w:pPr>
    </w:p>
    <w:p w14:paraId="47E78295" w14:textId="232AFE8E" w:rsidR="00277E76" w:rsidRPr="009C18C4" w:rsidRDefault="00A05B7E" w:rsidP="00277E76">
      <w:pPr>
        <w:pStyle w:val="Prrafodelista"/>
        <w:numPr>
          <w:ilvl w:val="0"/>
          <w:numId w:val="1"/>
        </w:numPr>
        <w:spacing w:line="0" w:lineRule="atLeast"/>
        <w:ind w:left="1134" w:hanging="283"/>
        <w:jc w:val="both"/>
        <w:rPr>
          <w:rFonts w:ascii="Bookman Old Style" w:hAnsi="Bookman Old Style"/>
          <w:b/>
          <w:sz w:val="22"/>
          <w:szCs w:val="22"/>
          <w:lang w:val="es-ES_tradnl"/>
        </w:rPr>
      </w:pPr>
      <w:r w:rsidRPr="009C18C4">
        <w:rPr>
          <w:rFonts w:ascii="Bookman Old Style" w:hAnsi="Bookman Old Style"/>
          <w:sz w:val="22"/>
          <w:szCs w:val="22"/>
        </w:rPr>
        <w:t>Reglamento del Sistema de Planificaci</w:t>
      </w:r>
      <w:r w:rsidR="005854EF" w:rsidRPr="009C18C4">
        <w:rPr>
          <w:rFonts w:ascii="Bookman Old Style" w:hAnsi="Bookman Old Style"/>
          <w:sz w:val="22"/>
          <w:szCs w:val="22"/>
        </w:rPr>
        <w:t>ó</w:t>
      </w:r>
      <w:r w:rsidRPr="009C18C4">
        <w:rPr>
          <w:rFonts w:ascii="Bookman Old Style" w:hAnsi="Bookman Old Style"/>
          <w:sz w:val="22"/>
          <w:szCs w:val="22"/>
        </w:rPr>
        <w:t xml:space="preserve">n </w:t>
      </w:r>
      <w:r w:rsidR="00277E76" w:rsidRPr="009C18C4">
        <w:rPr>
          <w:rFonts w:ascii="Bookman Old Style" w:hAnsi="Bookman Old Style"/>
          <w:sz w:val="22"/>
          <w:szCs w:val="22"/>
        </w:rPr>
        <w:t xml:space="preserve">Integral </w:t>
      </w:r>
      <w:r w:rsidRPr="009C18C4">
        <w:rPr>
          <w:rFonts w:ascii="Bookman Old Style" w:hAnsi="Bookman Old Style"/>
          <w:sz w:val="22"/>
          <w:szCs w:val="22"/>
        </w:rPr>
        <w:t>del SUB</w:t>
      </w:r>
      <w:r w:rsidR="00277E76" w:rsidRPr="009C18C4">
        <w:rPr>
          <w:rFonts w:ascii="Bookman Old Style" w:hAnsi="Bookman Old Style"/>
          <w:sz w:val="22"/>
          <w:szCs w:val="22"/>
        </w:rPr>
        <w:t>.</w:t>
      </w:r>
    </w:p>
    <w:p w14:paraId="7BB3FD9D" w14:textId="77777777" w:rsidR="00277E76" w:rsidRPr="009C18C4" w:rsidRDefault="00A05B7E" w:rsidP="00277E76">
      <w:pPr>
        <w:pStyle w:val="Prrafodelista"/>
        <w:numPr>
          <w:ilvl w:val="0"/>
          <w:numId w:val="1"/>
        </w:numPr>
        <w:spacing w:line="0" w:lineRule="atLeast"/>
        <w:ind w:left="1134" w:hanging="283"/>
        <w:jc w:val="both"/>
        <w:rPr>
          <w:rFonts w:ascii="Bookman Old Style" w:hAnsi="Bookman Old Style"/>
          <w:b/>
          <w:sz w:val="22"/>
          <w:szCs w:val="22"/>
          <w:lang w:val="es-ES_tradnl"/>
        </w:rPr>
      </w:pPr>
      <w:r w:rsidRPr="009C18C4">
        <w:rPr>
          <w:rFonts w:ascii="Bookman Old Style" w:hAnsi="Bookman Old Style"/>
          <w:sz w:val="22"/>
          <w:szCs w:val="22"/>
        </w:rPr>
        <w:t>Marco Estrat</w:t>
      </w:r>
      <w:r w:rsidR="005854EF" w:rsidRPr="009C18C4">
        <w:rPr>
          <w:rFonts w:ascii="Bookman Old Style" w:hAnsi="Bookman Old Style"/>
          <w:sz w:val="22"/>
          <w:szCs w:val="22"/>
        </w:rPr>
        <w:t>é</w:t>
      </w:r>
      <w:r w:rsidRPr="009C18C4">
        <w:rPr>
          <w:rFonts w:ascii="Bookman Old Style" w:hAnsi="Bookman Old Style"/>
          <w:sz w:val="22"/>
          <w:szCs w:val="22"/>
        </w:rPr>
        <w:t>gico</w:t>
      </w:r>
      <w:r w:rsidR="00277E76" w:rsidRPr="009C18C4">
        <w:rPr>
          <w:rFonts w:ascii="Bookman Old Style" w:hAnsi="Bookman Old Style"/>
          <w:sz w:val="22"/>
          <w:szCs w:val="22"/>
        </w:rPr>
        <w:t xml:space="preserve"> (Matriz Base de Planificación - PEI).</w:t>
      </w:r>
    </w:p>
    <w:p w14:paraId="603184E7" w14:textId="6C03AEEC" w:rsidR="00277E76" w:rsidRPr="009C18C4" w:rsidRDefault="00A05B7E" w:rsidP="00277E76">
      <w:pPr>
        <w:pStyle w:val="Prrafodelista"/>
        <w:numPr>
          <w:ilvl w:val="0"/>
          <w:numId w:val="1"/>
        </w:numPr>
        <w:spacing w:line="0" w:lineRule="atLeast"/>
        <w:ind w:left="1134" w:hanging="283"/>
        <w:jc w:val="both"/>
        <w:rPr>
          <w:rFonts w:ascii="Bookman Old Style" w:hAnsi="Bookman Old Style"/>
          <w:b/>
          <w:sz w:val="22"/>
          <w:szCs w:val="22"/>
          <w:lang w:val="es-ES_tradnl"/>
        </w:rPr>
      </w:pPr>
      <w:r w:rsidRPr="009C18C4">
        <w:rPr>
          <w:rFonts w:ascii="Bookman Old Style" w:hAnsi="Bookman Old Style"/>
          <w:sz w:val="22"/>
          <w:szCs w:val="22"/>
        </w:rPr>
        <w:t xml:space="preserve">Catalogo </w:t>
      </w:r>
      <w:r w:rsidR="005854EF" w:rsidRPr="009C18C4">
        <w:rPr>
          <w:rFonts w:ascii="Bookman Old Style" w:hAnsi="Bookman Old Style"/>
          <w:sz w:val="22"/>
          <w:szCs w:val="22"/>
        </w:rPr>
        <w:t>Básico</w:t>
      </w:r>
      <w:r w:rsidRPr="009C18C4">
        <w:rPr>
          <w:rFonts w:ascii="Bookman Old Style" w:hAnsi="Bookman Old Style"/>
          <w:sz w:val="22"/>
          <w:szCs w:val="22"/>
        </w:rPr>
        <w:t xml:space="preserve"> de</w:t>
      </w:r>
      <w:r w:rsidR="005854EF" w:rsidRPr="009C18C4">
        <w:rPr>
          <w:rFonts w:ascii="Bookman Old Style" w:hAnsi="Bookman Old Style"/>
          <w:sz w:val="22"/>
          <w:szCs w:val="22"/>
        </w:rPr>
        <w:t xml:space="preserve"> Indicadores y Fichas Técnicas</w:t>
      </w:r>
      <w:r w:rsidR="00277E76" w:rsidRPr="009C18C4">
        <w:rPr>
          <w:rFonts w:ascii="Bookman Old Style" w:hAnsi="Bookman Old Style"/>
          <w:sz w:val="22"/>
          <w:szCs w:val="22"/>
        </w:rPr>
        <w:t>.</w:t>
      </w:r>
    </w:p>
    <w:p w14:paraId="6B4C4D9E" w14:textId="52EA4650" w:rsidR="00277E76" w:rsidRPr="009C18C4" w:rsidRDefault="00A05B7E" w:rsidP="00277E76">
      <w:pPr>
        <w:pStyle w:val="Prrafodelista"/>
        <w:numPr>
          <w:ilvl w:val="0"/>
          <w:numId w:val="1"/>
        </w:numPr>
        <w:spacing w:line="0" w:lineRule="atLeast"/>
        <w:ind w:left="1134" w:hanging="283"/>
        <w:jc w:val="both"/>
        <w:rPr>
          <w:rFonts w:ascii="Bookman Old Style" w:hAnsi="Bookman Old Style"/>
          <w:b/>
          <w:sz w:val="22"/>
          <w:szCs w:val="22"/>
          <w:lang w:val="es-ES_tradnl"/>
        </w:rPr>
      </w:pPr>
      <w:r w:rsidRPr="009C18C4">
        <w:rPr>
          <w:rFonts w:ascii="Bookman Old Style" w:hAnsi="Bookman Old Style"/>
          <w:sz w:val="22"/>
          <w:szCs w:val="22"/>
        </w:rPr>
        <w:t>Lineamientos de formulaci</w:t>
      </w:r>
      <w:r w:rsidR="005854EF" w:rsidRPr="009C18C4">
        <w:rPr>
          <w:rFonts w:ascii="Bookman Old Style" w:hAnsi="Bookman Old Style"/>
          <w:sz w:val="22"/>
          <w:szCs w:val="22"/>
        </w:rPr>
        <w:t>ó</w:t>
      </w:r>
      <w:r w:rsidRPr="009C18C4">
        <w:rPr>
          <w:rFonts w:ascii="Bookman Old Style" w:hAnsi="Bookman Old Style"/>
          <w:sz w:val="22"/>
          <w:szCs w:val="22"/>
        </w:rPr>
        <w:t>n de los PEI</w:t>
      </w:r>
      <w:r w:rsidR="00277E76" w:rsidRPr="009C18C4">
        <w:rPr>
          <w:rFonts w:ascii="Bookman Old Style" w:hAnsi="Bookman Old Style"/>
          <w:sz w:val="22"/>
          <w:szCs w:val="22"/>
        </w:rPr>
        <w:t>.</w:t>
      </w:r>
    </w:p>
    <w:p w14:paraId="47966878" w14:textId="77777777" w:rsidR="00277E76" w:rsidRDefault="00277E76" w:rsidP="00277E76">
      <w:pPr>
        <w:spacing w:line="0" w:lineRule="atLeast"/>
        <w:jc w:val="both"/>
        <w:rPr>
          <w:rFonts w:ascii="Bookman Old Style" w:hAnsi="Bookman Old Style"/>
          <w:sz w:val="22"/>
          <w:szCs w:val="22"/>
          <w:lang w:val="es-ES_tradnl"/>
        </w:rPr>
      </w:pPr>
    </w:p>
    <w:p w14:paraId="2D91ED11" w14:textId="5E04A04E" w:rsidR="00931414" w:rsidRDefault="00277E76" w:rsidP="00277E76">
      <w:pPr>
        <w:spacing w:line="0" w:lineRule="atLeast"/>
        <w:jc w:val="both"/>
        <w:rPr>
          <w:rFonts w:ascii="Bookman Old Style" w:hAnsi="Bookman Old Style"/>
          <w:sz w:val="22"/>
          <w:szCs w:val="22"/>
        </w:rPr>
      </w:pPr>
      <w:r w:rsidRPr="009C18C4">
        <w:rPr>
          <w:rFonts w:ascii="Bookman Old Style" w:hAnsi="Bookman Old Style"/>
          <w:b/>
          <w:sz w:val="22"/>
          <w:szCs w:val="22"/>
          <w:lang w:val="es-ES_tradnl"/>
        </w:rPr>
        <w:t xml:space="preserve">ARTICULO SEGUNDO: </w:t>
      </w:r>
      <w:r w:rsidR="001569A7">
        <w:rPr>
          <w:rFonts w:ascii="Bookman Old Style" w:hAnsi="Bookman Old Style"/>
          <w:bCs/>
          <w:sz w:val="22"/>
          <w:szCs w:val="22"/>
          <w:lang w:val="es-ES_tradnl"/>
        </w:rPr>
        <w:t>DISPONER</w:t>
      </w:r>
      <w:r w:rsidR="00560720" w:rsidRPr="009C18C4">
        <w:rPr>
          <w:rFonts w:ascii="Bookman Old Style" w:hAnsi="Bookman Old Style"/>
          <w:sz w:val="22"/>
          <w:szCs w:val="22"/>
          <w:lang w:val="es-ES_tradnl"/>
        </w:rPr>
        <w:t xml:space="preserve"> </w:t>
      </w:r>
      <w:r w:rsidR="00560720" w:rsidRPr="009C18C4">
        <w:rPr>
          <w:rFonts w:ascii="Bookman Old Style" w:hAnsi="Bookman Old Style"/>
          <w:sz w:val="22"/>
          <w:szCs w:val="22"/>
        </w:rPr>
        <w:t>la aplica</w:t>
      </w:r>
      <w:r w:rsidR="009E7E39" w:rsidRPr="009C18C4">
        <w:rPr>
          <w:rFonts w:ascii="Bookman Old Style" w:hAnsi="Bookman Old Style"/>
          <w:sz w:val="22"/>
          <w:szCs w:val="22"/>
        </w:rPr>
        <w:t xml:space="preserve">ción obligatoria </w:t>
      </w:r>
      <w:r w:rsidR="00560720" w:rsidRPr="009C18C4">
        <w:rPr>
          <w:rFonts w:ascii="Bookman Old Style" w:hAnsi="Bookman Old Style"/>
          <w:sz w:val="22"/>
          <w:szCs w:val="22"/>
        </w:rPr>
        <w:t xml:space="preserve">de la normativa </w:t>
      </w:r>
      <w:r w:rsidRPr="009C18C4">
        <w:rPr>
          <w:rFonts w:ascii="Bookman Old Style" w:hAnsi="Bookman Old Style"/>
          <w:sz w:val="22"/>
          <w:szCs w:val="22"/>
        </w:rPr>
        <w:t xml:space="preserve">e instrumentos </w:t>
      </w:r>
      <w:r w:rsidR="00560720" w:rsidRPr="009C18C4">
        <w:rPr>
          <w:rFonts w:ascii="Bookman Old Style" w:hAnsi="Bookman Old Style"/>
          <w:sz w:val="22"/>
          <w:szCs w:val="22"/>
        </w:rPr>
        <w:t>de planificación universitaria del SUB actualizad</w:t>
      </w:r>
      <w:r w:rsidRPr="009C18C4">
        <w:rPr>
          <w:rFonts w:ascii="Bookman Old Style" w:hAnsi="Bookman Old Style"/>
          <w:sz w:val="22"/>
          <w:szCs w:val="22"/>
        </w:rPr>
        <w:t>os</w:t>
      </w:r>
      <w:r w:rsidR="00560720" w:rsidRPr="009C18C4">
        <w:rPr>
          <w:rFonts w:ascii="Bookman Old Style" w:hAnsi="Bookman Old Style"/>
          <w:sz w:val="22"/>
          <w:szCs w:val="22"/>
        </w:rPr>
        <w:t xml:space="preserve">, en </w:t>
      </w:r>
      <w:r w:rsidR="00714279" w:rsidRPr="009C18C4">
        <w:rPr>
          <w:rFonts w:ascii="Bookman Old Style" w:hAnsi="Bookman Old Style"/>
          <w:sz w:val="22"/>
          <w:szCs w:val="22"/>
        </w:rPr>
        <w:t xml:space="preserve">los procesos de formulación de </w:t>
      </w:r>
      <w:r w:rsidR="00560720" w:rsidRPr="009C18C4">
        <w:rPr>
          <w:rFonts w:ascii="Bookman Old Style" w:hAnsi="Bookman Old Style"/>
          <w:sz w:val="22"/>
          <w:szCs w:val="22"/>
        </w:rPr>
        <w:t xml:space="preserve">los Planes Estratégicos Institucionales de las universidades del </w:t>
      </w:r>
      <w:r w:rsidRPr="009C18C4">
        <w:rPr>
          <w:rFonts w:ascii="Bookman Old Style" w:hAnsi="Bookman Old Style"/>
          <w:sz w:val="22"/>
          <w:szCs w:val="22"/>
        </w:rPr>
        <w:t>S</w:t>
      </w:r>
      <w:r w:rsidR="00560720" w:rsidRPr="009C18C4">
        <w:rPr>
          <w:rFonts w:ascii="Bookman Old Style" w:hAnsi="Bookman Old Style"/>
          <w:sz w:val="22"/>
          <w:szCs w:val="22"/>
        </w:rPr>
        <w:t xml:space="preserve">istema y </w:t>
      </w:r>
      <w:r w:rsidRPr="009C18C4">
        <w:rPr>
          <w:rFonts w:ascii="Bookman Old Style" w:hAnsi="Bookman Old Style"/>
          <w:sz w:val="22"/>
          <w:szCs w:val="22"/>
        </w:rPr>
        <w:t xml:space="preserve">del </w:t>
      </w:r>
      <w:r w:rsidR="00560720" w:rsidRPr="009C18C4">
        <w:rPr>
          <w:rFonts w:ascii="Bookman Old Style" w:hAnsi="Bookman Old Style"/>
          <w:sz w:val="22"/>
          <w:szCs w:val="22"/>
        </w:rPr>
        <w:t xml:space="preserve">CEUB, </w:t>
      </w:r>
      <w:r w:rsidRPr="009C18C4">
        <w:rPr>
          <w:rFonts w:ascii="Bookman Old Style" w:hAnsi="Bookman Old Style"/>
          <w:sz w:val="22"/>
          <w:szCs w:val="22"/>
        </w:rPr>
        <w:t xml:space="preserve">así como </w:t>
      </w:r>
      <w:r w:rsidR="00560720" w:rsidRPr="009C18C4">
        <w:rPr>
          <w:rFonts w:ascii="Bookman Old Style" w:hAnsi="Bookman Old Style"/>
          <w:sz w:val="22"/>
          <w:szCs w:val="22"/>
        </w:rPr>
        <w:t xml:space="preserve">en </w:t>
      </w:r>
      <w:r w:rsidR="00714279" w:rsidRPr="009C18C4">
        <w:rPr>
          <w:rFonts w:ascii="Bookman Old Style" w:hAnsi="Bookman Old Style"/>
          <w:sz w:val="22"/>
          <w:szCs w:val="22"/>
        </w:rPr>
        <w:t xml:space="preserve">el </w:t>
      </w:r>
      <w:r w:rsidR="00560720" w:rsidRPr="009C18C4">
        <w:rPr>
          <w:rFonts w:ascii="Bookman Old Style" w:hAnsi="Bookman Old Style"/>
          <w:sz w:val="22"/>
          <w:szCs w:val="22"/>
        </w:rPr>
        <w:t xml:space="preserve">Plan de Desarrollo Universitario 2026-2030, </w:t>
      </w:r>
      <w:r w:rsidR="009C18C4">
        <w:rPr>
          <w:rFonts w:ascii="Bookman Old Style" w:hAnsi="Bookman Old Style"/>
          <w:sz w:val="22"/>
          <w:szCs w:val="22"/>
        </w:rPr>
        <w:t xml:space="preserve">y a partir de la </w:t>
      </w:r>
      <w:r w:rsidR="00560720" w:rsidRPr="009C18C4">
        <w:rPr>
          <w:rFonts w:ascii="Bookman Old Style" w:hAnsi="Bookman Old Style"/>
          <w:sz w:val="22"/>
          <w:szCs w:val="22"/>
        </w:rPr>
        <w:t xml:space="preserve">formulación </w:t>
      </w:r>
      <w:r w:rsidR="009C18C4">
        <w:rPr>
          <w:rFonts w:ascii="Bookman Old Style" w:hAnsi="Bookman Old Style"/>
          <w:sz w:val="22"/>
          <w:szCs w:val="22"/>
        </w:rPr>
        <w:t xml:space="preserve">del </w:t>
      </w:r>
      <w:r w:rsidR="00560720" w:rsidRPr="009C18C4">
        <w:rPr>
          <w:rFonts w:ascii="Bookman Old Style" w:hAnsi="Bookman Old Style"/>
          <w:sz w:val="22"/>
          <w:szCs w:val="22"/>
        </w:rPr>
        <w:t xml:space="preserve">POA </w:t>
      </w:r>
      <w:r w:rsidR="00714279" w:rsidRPr="009C18C4">
        <w:rPr>
          <w:rFonts w:ascii="Bookman Old Style" w:hAnsi="Bookman Old Style"/>
          <w:sz w:val="22"/>
          <w:szCs w:val="22"/>
        </w:rPr>
        <w:t>g</w:t>
      </w:r>
      <w:r w:rsidR="00560720" w:rsidRPr="009C18C4">
        <w:rPr>
          <w:rFonts w:ascii="Bookman Old Style" w:hAnsi="Bookman Old Style"/>
          <w:sz w:val="22"/>
          <w:szCs w:val="22"/>
        </w:rPr>
        <w:t>estión 2026.</w:t>
      </w:r>
    </w:p>
    <w:p w14:paraId="36CA8906" w14:textId="77777777" w:rsidR="001569A7" w:rsidRDefault="001569A7" w:rsidP="00277E76">
      <w:pPr>
        <w:spacing w:line="0" w:lineRule="atLeast"/>
        <w:jc w:val="both"/>
        <w:rPr>
          <w:rFonts w:ascii="Bookman Old Style" w:hAnsi="Bookman Old Style"/>
          <w:sz w:val="22"/>
          <w:szCs w:val="22"/>
        </w:rPr>
      </w:pPr>
    </w:p>
    <w:p w14:paraId="3C5AE6A1" w14:textId="09341429" w:rsidR="001569A7" w:rsidRPr="001569A7" w:rsidRDefault="001569A7" w:rsidP="00277E76">
      <w:pPr>
        <w:spacing w:line="0" w:lineRule="atLeast"/>
        <w:jc w:val="both"/>
        <w:rPr>
          <w:rFonts w:ascii="Bookman Old Style" w:hAnsi="Bookman Old Style"/>
          <w:bCs/>
          <w:sz w:val="22"/>
          <w:szCs w:val="22"/>
        </w:rPr>
      </w:pPr>
      <w:r w:rsidRPr="009C18C4">
        <w:rPr>
          <w:rFonts w:ascii="Bookman Old Style" w:hAnsi="Bookman Old Style"/>
          <w:b/>
          <w:sz w:val="22"/>
          <w:szCs w:val="22"/>
          <w:lang w:val="es-ES_tradnl"/>
        </w:rPr>
        <w:t xml:space="preserve">ARTICULO </w:t>
      </w:r>
      <w:r>
        <w:rPr>
          <w:rFonts w:ascii="Bookman Old Style" w:hAnsi="Bookman Old Style"/>
          <w:b/>
          <w:sz w:val="22"/>
          <w:szCs w:val="22"/>
          <w:lang w:val="es-ES_tradnl"/>
        </w:rPr>
        <w:t>TERCERO</w:t>
      </w:r>
      <w:r w:rsidRPr="009C18C4">
        <w:rPr>
          <w:rFonts w:ascii="Bookman Old Style" w:hAnsi="Bookman Old Style"/>
          <w:b/>
          <w:sz w:val="22"/>
          <w:szCs w:val="22"/>
          <w:lang w:val="es-ES_tradnl"/>
        </w:rPr>
        <w:t xml:space="preserve">: </w:t>
      </w:r>
      <w:r w:rsidRPr="001569A7">
        <w:rPr>
          <w:rFonts w:ascii="Bookman Old Style" w:hAnsi="Bookman Old Style"/>
          <w:bCs/>
          <w:sz w:val="22"/>
          <w:szCs w:val="22"/>
          <w:lang w:val="es-ES_tradnl"/>
        </w:rPr>
        <w:t xml:space="preserve">ENCOMENDAR al CEUB, </w:t>
      </w:r>
      <w:r>
        <w:rPr>
          <w:rFonts w:ascii="Bookman Old Style" w:hAnsi="Bookman Old Style"/>
          <w:bCs/>
          <w:sz w:val="22"/>
          <w:szCs w:val="22"/>
          <w:lang w:val="es-ES_tradnl"/>
        </w:rPr>
        <w:t xml:space="preserve">hacer conocer </w:t>
      </w:r>
      <w:r w:rsidR="00CA341B" w:rsidRPr="001569A7">
        <w:rPr>
          <w:rFonts w:ascii="Bookman Old Style" w:hAnsi="Bookman Old Style"/>
          <w:bCs/>
          <w:sz w:val="22"/>
          <w:szCs w:val="22"/>
          <w:lang w:val="es-ES_tradnl"/>
        </w:rPr>
        <w:t>al Ministerio de Planif</w:t>
      </w:r>
      <w:r w:rsidR="00CA341B">
        <w:rPr>
          <w:rFonts w:ascii="Bookman Old Style" w:hAnsi="Bookman Old Style"/>
          <w:bCs/>
          <w:sz w:val="22"/>
          <w:szCs w:val="22"/>
          <w:lang w:val="es-ES_tradnl"/>
        </w:rPr>
        <w:t>ic</w:t>
      </w:r>
      <w:r w:rsidR="00CA341B" w:rsidRPr="001569A7">
        <w:rPr>
          <w:rFonts w:ascii="Bookman Old Style" w:hAnsi="Bookman Old Style"/>
          <w:bCs/>
          <w:sz w:val="22"/>
          <w:szCs w:val="22"/>
          <w:lang w:val="es-ES_tradnl"/>
        </w:rPr>
        <w:t>ación del Desarrollo y a la Contraloría General del Estado</w:t>
      </w:r>
      <w:r w:rsidR="00CA341B">
        <w:rPr>
          <w:rFonts w:ascii="Bookman Old Style" w:hAnsi="Bookman Old Style"/>
          <w:bCs/>
          <w:sz w:val="22"/>
          <w:szCs w:val="22"/>
          <w:lang w:val="es-ES_tradnl"/>
        </w:rPr>
        <w:t xml:space="preserve">, </w:t>
      </w:r>
      <w:r>
        <w:rPr>
          <w:rFonts w:ascii="Bookman Old Style" w:hAnsi="Bookman Old Style"/>
          <w:bCs/>
          <w:sz w:val="22"/>
          <w:szCs w:val="22"/>
          <w:lang w:val="es-ES_tradnl"/>
        </w:rPr>
        <w:t xml:space="preserve">la Resolución que se asuma en la VIII </w:t>
      </w:r>
      <w:r w:rsidRPr="001569A7">
        <w:rPr>
          <w:rFonts w:ascii="Bookman Old Style" w:hAnsi="Bookman Old Style"/>
          <w:bCs/>
          <w:sz w:val="22"/>
          <w:szCs w:val="22"/>
          <w:lang w:val="es-ES_tradnl"/>
        </w:rPr>
        <w:t>Conferencia Nacional Ordinaria de Universidades</w:t>
      </w:r>
      <w:r w:rsidR="00CA341B">
        <w:rPr>
          <w:rFonts w:ascii="Bookman Old Style" w:hAnsi="Bookman Old Style"/>
          <w:bCs/>
          <w:sz w:val="22"/>
          <w:szCs w:val="22"/>
          <w:lang w:val="es-ES_tradnl"/>
        </w:rPr>
        <w:t xml:space="preserve"> </w:t>
      </w:r>
      <w:r w:rsidRPr="001569A7">
        <w:rPr>
          <w:rFonts w:ascii="Bookman Old Style" w:hAnsi="Bookman Old Style"/>
          <w:bCs/>
          <w:sz w:val="22"/>
          <w:szCs w:val="22"/>
          <w:lang w:val="es-ES_tradnl"/>
        </w:rPr>
        <w:t xml:space="preserve">vinculada a la aprobación de la </w:t>
      </w:r>
      <w:r w:rsidR="00C41460" w:rsidRPr="001569A7">
        <w:rPr>
          <w:rFonts w:ascii="Bookman Old Style" w:hAnsi="Bookman Old Style" w:cs="Tahoma"/>
          <w:bCs/>
          <w:sz w:val="22"/>
          <w:szCs w:val="22"/>
        </w:rPr>
        <w:t>actualización</w:t>
      </w:r>
      <w:r w:rsidRPr="001569A7">
        <w:rPr>
          <w:rFonts w:ascii="Bookman Old Style" w:hAnsi="Bookman Old Style" w:cs="Tahoma"/>
          <w:bCs/>
          <w:sz w:val="22"/>
          <w:szCs w:val="22"/>
        </w:rPr>
        <w:t xml:space="preserve"> de los instrumentos normativos del Sistema de Planificación Integral del SUB</w:t>
      </w:r>
      <w:r w:rsidR="00597DDE">
        <w:rPr>
          <w:rFonts w:ascii="Bookman Old Style" w:hAnsi="Bookman Old Style"/>
          <w:bCs/>
          <w:sz w:val="22"/>
          <w:szCs w:val="22"/>
          <w:lang w:val="es-ES_tradnl"/>
        </w:rPr>
        <w:t>.</w:t>
      </w:r>
    </w:p>
    <w:p w14:paraId="52408070" w14:textId="77777777" w:rsidR="00931414" w:rsidRPr="00004C80" w:rsidRDefault="00931414" w:rsidP="00931414">
      <w:pPr>
        <w:spacing w:line="0" w:lineRule="atLeast"/>
        <w:rPr>
          <w:rFonts w:ascii="Bookman Old Style" w:hAnsi="Bookman Old Style"/>
          <w:b/>
          <w:sz w:val="22"/>
          <w:szCs w:val="22"/>
          <w:lang w:val="es-ES_tradnl"/>
        </w:rPr>
      </w:pPr>
    </w:p>
    <w:p w14:paraId="7BEE1E8B" w14:textId="77777777" w:rsidR="00931414" w:rsidRPr="00004C80" w:rsidRDefault="00931414" w:rsidP="00931414">
      <w:pPr>
        <w:spacing w:line="0" w:lineRule="atLeast"/>
        <w:jc w:val="both"/>
        <w:rPr>
          <w:rFonts w:ascii="Bookman Old Style" w:hAnsi="Bookman Old Style"/>
          <w:b/>
          <w:sz w:val="22"/>
          <w:szCs w:val="22"/>
          <w:lang w:val="es-ES_tradnl"/>
        </w:rPr>
      </w:pPr>
      <w:r w:rsidRPr="00004C80">
        <w:rPr>
          <w:rFonts w:ascii="Bookman Old Style" w:hAnsi="Bookman Old Style"/>
          <w:b/>
          <w:sz w:val="22"/>
          <w:szCs w:val="22"/>
          <w:lang w:val="es-ES_tradnl"/>
        </w:rPr>
        <w:t>Regístrese, comuníquese y archívese.</w:t>
      </w:r>
    </w:p>
    <w:p w14:paraId="7916A557" w14:textId="77777777" w:rsidR="00931414" w:rsidRPr="00AC62F8" w:rsidRDefault="00931414" w:rsidP="00931414">
      <w:pPr>
        <w:rPr>
          <w:szCs w:val="20"/>
        </w:rPr>
      </w:pPr>
    </w:p>
    <w:p w14:paraId="74D1FBB4" w14:textId="5B570C33" w:rsidR="00931414" w:rsidRDefault="00931414" w:rsidP="00931414">
      <w:pPr>
        <w:rPr>
          <w:szCs w:val="20"/>
        </w:rPr>
      </w:pPr>
    </w:p>
    <w:p w14:paraId="357BDC3E" w14:textId="626D1CA3" w:rsidR="00EF53E5" w:rsidRDefault="00EF53E5" w:rsidP="00931414">
      <w:pPr>
        <w:rPr>
          <w:szCs w:val="20"/>
        </w:rPr>
      </w:pPr>
    </w:p>
    <w:p w14:paraId="0EF08A49" w14:textId="0AA58253" w:rsidR="00EF53E5" w:rsidRDefault="00EF53E5" w:rsidP="00931414">
      <w:pPr>
        <w:rPr>
          <w:szCs w:val="20"/>
        </w:rPr>
      </w:pPr>
    </w:p>
    <w:p w14:paraId="0A854F9F" w14:textId="2F0A23AD" w:rsidR="00EF53E5" w:rsidRDefault="00EF53E5" w:rsidP="00931414">
      <w:pPr>
        <w:rPr>
          <w:szCs w:val="20"/>
        </w:rPr>
      </w:pPr>
    </w:p>
    <w:p w14:paraId="3307676F" w14:textId="0A4FC423" w:rsidR="00EF53E5" w:rsidRDefault="00EF53E5" w:rsidP="00931414">
      <w:pPr>
        <w:rPr>
          <w:szCs w:val="20"/>
        </w:rPr>
      </w:pPr>
    </w:p>
    <w:p w14:paraId="3124327B" w14:textId="77777777" w:rsidR="00EF53E5" w:rsidRDefault="00EF53E5" w:rsidP="00931414">
      <w:pPr>
        <w:rPr>
          <w:szCs w:val="20"/>
        </w:rPr>
      </w:pPr>
    </w:p>
    <w:p w14:paraId="2C557F71" w14:textId="59256A5E" w:rsidR="00EF53E5" w:rsidRDefault="00EF53E5" w:rsidP="00EF53E5">
      <w:pPr>
        <w:spacing w:line="0" w:lineRule="atLeast"/>
        <w:jc w:val="both"/>
        <w:rPr>
          <w:rFonts w:ascii="Bookman Old Style" w:hAnsi="Bookman Old Style"/>
          <w:b/>
          <w:sz w:val="22"/>
          <w:szCs w:val="22"/>
          <w:lang w:val="es-ES_tradnl"/>
        </w:rPr>
      </w:pPr>
      <w:r>
        <w:rPr>
          <w:rFonts w:ascii="Bookman Old Style" w:hAnsi="Bookman Old Style"/>
          <w:b/>
          <w:sz w:val="22"/>
          <w:szCs w:val="22"/>
          <w:lang w:val="es-ES_tradnl"/>
        </w:rPr>
        <w:t>Firmado por:</w:t>
      </w:r>
    </w:p>
    <w:p w14:paraId="0B6E7F2E" w14:textId="77777777" w:rsidR="00EF53E5" w:rsidRPr="00004C80" w:rsidRDefault="00EF53E5" w:rsidP="00EF53E5">
      <w:pPr>
        <w:spacing w:line="0" w:lineRule="atLeast"/>
        <w:jc w:val="both"/>
        <w:rPr>
          <w:rFonts w:ascii="Bookman Old Style" w:hAnsi="Bookman Old Style"/>
          <w:b/>
          <w:sz w:val="22"/>
          <w:szCs w:val="22"/>
          <w:lang w:val="es-ES_tradnl"/>
        </w:rPr>
      </w:pPr>
    </w:p>
    <w:p w14:paraId="6B9E2308" w14:textId="77777777" w:rsidR="00931414" w:rsidRPr="00AC62F8" w:rsidRDefault="00931414" w:rsidP="00931414">
      <w:pPr>
        <w:rPr>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556"/>
      </w:tblGrid>
      <w:tr w:rsidR="00931414" w:rsidRPr="00004C80" w14:paraId="013C61FE" w14:textId="77777777" w:rsidTr="00630B2E">
        <w:tc>
          <w:tcPr>
            <w:tcW w:w="9111" w:type="dxa"/>
            <w:gridSpan w:val="2"/>
          </w:tcPr>
          <w:p w14:paraId="18DF5FEF" w14:textId="1EE7F9A8" w:rsidR="00931414" w:rsidRPr="00004C80" w:rsidRDefault="00931414" w:rsidP="00EF53E5">
            <w:pPr>
              <w:rPr>
                <w:rFonts w:ascii="Bookman Old Style" w:eastAsia="Century Gothic" w:hAnsi="Bookman Old Style"/>
                <w:szCs w:val="20"/>
              </w:rPr>
            </w:pPr>
            <w:proofErr w:type="spellStart"/>
            <w:r>
              <w:rPr>
                <w:rFonts w:ascii="Bookman Old Style" w:eastAsia="Century Gothic" w:hAnsi="Bookman Old Style"/>
                <w:szCs w:val="20"/>
              </w:rPr>
              <w:t>M.Sc</w:t>
            </w:r>
            <w:proofErr w:type="spellEnd"/>
            <w:r>
              <w:rPr>
                <w:rFonts w:ascii="Bookman Old Style" w:eastAsia="Century Gothic" w:hAnsi="Bookman Old Style"/>
                <w:szCs w:val="20"/>
              </w:rPr>
              <w:t>. Ing. Freddy Mendoza Espinoza</w:t>
            </w:r>
          </w:p>
          <w:p w14:paraId="5EF8DF7E" w14:textId="77777777" w:rsidR="00931414" w:rsidRDefault="00931414" w:rsidP="00EF53E5">
            <w:pPr>
              <w:rPr>
                <w:rFonts w:ascii="Bookman Old Style" w:eastAsia="Century Gothic" w:hAnsi="Bookman Old Style"/>
                <w:b/>
                <w:szCs w:val="20"/>
                <w:lang w:val="es-ES"/>
              </w:rPr>
            </w:pPr>
            <w:r w:rsidRPr="00004C80">
              <w:rPr>
                <w:rFonts w:ascii="Bookman Old Style" w:eastAsia="Century Gothic" w:hAnsi="Bookman Old Style"/>
                <w:b/>
                <w:szCs w:val="20"/>
                <w:lang w:val="es-ES"/>
              </w:rPr>
              <w:t>PRESIDENTE</w:t>
            </w:r>
          </w:p>
          <w:p w14:paraId="378AC842" w14:textId="77777777" w:rsidR="00EF53E5" w:rsidRDefault="00EF53E5" w:rsidP="00EF53E5">
            <w:pPr>
              <w:rPr>
                <w:rFonts w:ascii="Bookman Old Style" w:eastAsia="Century Gothic" w:hAnsi="Bookman Old Style"/>
                <w:b/>
                <w:szCs w:val="20"/>
                <w:lang w:val="es-ES"/>
              </w:rPr>
            </w:pPr>
          </w:p>
          <w:p w14:paraId="713AFCD4" w14:textId="77777777" w:rsidR="00EF53E5" w:rsidRPr="00004C80" w:rsidRDefault="00EF53E5" w:rsidP="00EF53E5">
            <w:pPr>
              <w:rPr>
                <w:rFonts w:ascii="Bookman Old Style" w:eastAsia="Century Gothic" w:hAnsi="Bookman Old Style"/>
                <w:b/>
                <w:szCs w:val="20"/>
                <w:lang w:val="es-ES"/>
              </w:rPr>
            </w:pPr>
            <w:proofErr w:type="spellStart"/>
            <w:r>
              <w:rPr>
                <w:rFonts w:ascii="Bookman Old Style" w:eastAsia="Century Gothic" w:hAnsi="Bookman Old Style"/>
                <w:szCs w:val="20"/>
                <w:lang w:val="es-ES"/>
              </w:rPr>
              <w:t>M.Sc</w:t>
            </w:r>
            <w:proofErr w:type="spellEnd"/>
            <w:r>
              <w:rPr>
                <w:rFonts w:ascii="Bookman Old Style" w:eastAsia="Century Gothic" w:hAnsi="Bookman Old Style"/>
                <w:szCs w:val="20"/>
                <w:lang w:val="es-ES"/>
              </w:rPr>
              <w:t xml:space="preserve">. </w:t>
            </w:r>
            <w:r w:rsidRPr="00931414">
              <w:rPr>
                <w:rFonts w:ascii="Bookman Old Style" w:eastAsia="Century Gothic" w:hAnsi="Bookman Old Style"/>
                <w:szCs w:val="20"/>
                <w:lang w:val="es-ES"/>
              </w:rPr>
              <w:t>Lic. Roberto Fernández</w:t>
            </w:r>
            <w:r>
              <w:rPr>
                <w:rFonts w:ascii="Bookman Old Style" w:eastAsia="Century Gothic" w:hAnsi="Bookman Old Style"/>
                <w:szCs w:val="20"/>
                <w:lang w:val="es-ES"/>
              </w:rPr>
              <w:t xml:space="preserve"> Terán </w:t>
            </w:r>
          </w:p>
          <w:p w14:paraId="7F6F035A" w14:textId="77777777" w:rsidR="00EF53E5" w:rsidRDefault="00EF53E5" w:rsidP="00EF53E5">
            <w:pPr>
              <w:rPr>
                <w:rFonts w:ascii="Bookman Old Style" w:eastAsia="Century Gothic" w:hAnsi="Bookman Old Style"/>
                <w:b/>
                <w:szCs w:val="20"/>
                <w:lang w:val="es-ES"/>
              </w:rPr>
            </w:pPr>
            <w:r w:rsidRPr="00004C80">
              <w:rPr>
                <w:rFonts w:ascii="Bookman Old Style" w:eastAsia="Century Gothic" w:hAnsi="Bookman Old Style"/>
                <w:b/>
                <w:szCs w:val="20"/>
                <w:lang w:val="es-ES"/>
              </w:rPr>
              <w:t>SECRETARIO DOCENTE CUD</w:t>
            </w:r>
          </w:p>
          <w:p w14:paraId="68FC54D3" w14:textId="77777777" w:rsidR="00EF53E5" w:rsidRDefault="00EF53E5" w:rsidP="00EF53E5">
            <w:pPr>
              <w:rPr>
                <w:rFonts w:ascii="Bookman Old Style" w:eastAsia="Century Gothic" w:hAnsi="Bookman Old Style"/>
                <w:b/>
                <w:szCs w:val="20"/>
                <w:lang w:val="es-ES"/>
              </w:rPr>
            </w:pPr>
          </w:p>
          <w:p w14:paraId="427E2008" w14:textId="77777777" w:rsidR="00EF53E5" w:rsidRPr="00004C80" w:rsidRDefault="00EF53E5" w:rsidP="00EF53E5">
            <w:pPr>
              <w:rPr>
                <w:rFonts w:ascii="Bookman Old Style" w:hAnsi="Bookman Old Style"/>
                <w:szCs w:val="20"/>
              </w:rPr>
            </w:pPr>
            <w:r w:rsidRPr="00004C80">
              <w:rPr>
                <w:rFonts w:ascii="Bookman Old Style" w:hAnsi="Bookman Old Style"/>
                <w:szCs w:val="20"/>
              </w:rPr>
              <w:t xml:space="preserve">Univ. </w:t>
            </w:r>
            <w:r>
              <w:rPr>
                <w:rFonts w:ascii="Bookman Old Style" w:hAnsi="Bookman Old Style"/>
                <w:szCs w:val="20"/>
              </w:rPr>
              <w:t xml:space="preserve">Xavier Alex Torrejón </w:t>
            </w:r>
            <w:proofErr w:type="spellStart"/>
            <w:r>
              <w:rPr>
                <w:rFonts w:ascii="Bookman Old Style" w:hAnsi="Bookman Old Style"/>
                <w:szCs w:val="20"/>
              </w:rPr>
              <w:t>Tomicha</w:t>
            </w:r>
            <w:proofErr w:type="spellEnd"/>
          </w:p>
          <w:p w14:paraId="4C7009FF" w14:textId="6B5C03FD" w:rsidR="00EF53E5" w:rsidRPr="00004C80" w:rsidRDefault="00EF53E5" w:rsidP="00EF53E5">
            <w:pPr>
              <w:rPr>
                <w:rFonts w:ascii="Bookman Old Style" w:hAnsi="Bookman Old Style"/>
                <w:szCs w:val="20"/>
              </w:rPr>
            </w:pPr>
            <w:r w:rsidRPr="00004C80">
              <w:rPr>
                <w:rFonts w:ascii="Bookman Old Style" w:eastAsia="Century Gothic" w:hAnsi="Bookman Old Style"/>
                <w:b/>
                <w:szCs w:val="20"/>
                <w:lang w:val="es-ES"/>
              </w:rPr>
              <w:t>SECRETARIO ESTUDIANTIL CUB</w:t>
            </w:r>
          </w:p>
        </w:tc>
      </w:tr>
      <w:tr w:rsidR="00931414" w:rsidRPr="00004C80" w14:paraId="51789457" w14:textId="77777777" w:rsidTr="00630B2E">
        <w:tc>
          <w:tcPr>
            <w:tcW w:w="4555" w:type="dxa"/>
          </w:tcPr>
          <w:p w14:paraId="47631CFB" w14:textId="77777777" w:rsidR="00931414" w:rsidRDefault="00931414" w:rsidP="00630B2E">
            <w:pPr>
              <w:jc w:val="center"/>
              <w:rPr>
                <w:rFonts w:ascii="Bookman Old Style" w:hAnsi="Bookman Old Style"/>
                <w:szCs w:val="20"/>
              </w:rPr>
            </w:pPr>
          </w:p>
          <w:p w14:paraId="04880566" w14:textId="1D61AE29" w:rsidR="00EF53E5" w:rsidRPr="00004C80" w:rsidRDefault="00EF53E5" w:rsidP="00630B2E">
            <w:pPr>
              <w:jc w:val="center"/>
              <w:rPr>
                <w:rFonts w:ascii="Bookman Old Style" w:hAnsi="Bookman Old Style"/>
                <w:szCs w:val="20"/>
              </w:rPr>
            </w:pPr>
          </w:p>
        </w:tc>
        <w:tc>
          <w:tcPr>
            <w:tcW w:w="4556" w:type="dxa"/>
          </w:tcPr>
          <w:p w14:paraId="7143CF67" w14:textId="77777777" w:rsidR="00931414" w:rsidRPr="00004C80" w:rsidRDefault="00931414" w:rsidP="00630B2E">
            <w:pPr>
              <w:jc w:val="center"/>
              <w:rPr>
                <w:rFonts w:ascii="Bookman Old Style" w:hAnsi="Bookman Old Style"/>
                <w:szCs w:val="20"/>
              </w:rPr>
            </w:pPr>
          </w:p>
        </w:tc>
      </w:tr>
      <w:tr w:rsidR="00931414" w:rsidRPr="00004C80" w14:paraId="25D8E385" w14:textId="77777777" w:rsidTr="00630B2E">
        <w:tc>
          <w:tcPr>
            <w:tcW w:w="4555" w:type="dxa"/>
          </w:tcPr>
          <w:p w14:paraId="19DFBA2E" w14:textId="77777777" w:rsidR="00931414" w:rsidRPr="00004C80" w:rsidRDefault="00931414" w:rsidP="00630B2E">
            <w:pPr>
              <w:jc w:val="center"/>
              <w:rPr>
                <w:rFonts w:ascii="Bookman Old Style" w:hAnsi="Bookman Old Style"/>
                <w:szCs w:val="20"/>
              </w:rPr>
            </w:pPr>
          </w:p>
        </w:tc>
        <w:tc>
          <w:tcPr>
            <w:tcW w:w="4556" w:type="dxa"/>
          </w:tcPr>
          <w:p w14:paraId="36F631C1" w14:textId="77777777" w:rsidR="00931414" w:rsidRPr="00004C80" w:rsidRDefault="00931414" w:rsidP="00630B2E">
            <w:pPr>
              <w:jc w:val="center"/>
              <w:rPr>
                <w:rFonts w:ascii="Bookman Old Style" w:hAnsi="Bookman Old Style"/>
                <w:szCs w:val="20"/>
              </w:rPr>
            </w:pPr>
          </w:p>
          <w:p w14:paraId="1DDF980D" w14:textId="77777777" w:rsidR="00931414" w:rsidRPr="00004C80" w:rsidRDefault="00931414" w:rsidP="00630B2E">
            <w:pPr>
              <w:jc w:val="center"/>
              <w:rPr>
                <w:rFonts w:ascii="Bookman Old Style" w:hAnsi="Bookman Old Style"/>
                <w:szCs w:val="20"/>
              </w:rPr>
            </w:pPr>
          </w:p>
        </w:tc>
      </w:tr>
      <w:tr w:rsidR="00931414" w:rsidRPr="00004C80" w14:paraId="7334A8FD" w14:textId="77777777" w:rsidTr="00630B2E">
        <w:tc>
          <w:tcPr>
            <w:tcW w:w="4555" w:type="dxa"/>
          </w:tcPr>
          <w:p w14:paraId="0C9D3305" w14:textId="77777777" w:rsidR="00931414" w:rsidRPr="00004C80" w:rsidRDefault="00931414" w:rsidP="00630B2E">
            <w:pPr>
              <w:jc w:val="center"/>
              <w:rPr>
                <w:rFonts w:ascii="Bookman Old Style" w:hAnsi="Bookman Old Style"/>
                <w:szCs w:val="20"/>
              </w:rPr>
            </w:pPr>
          </w:p>
        </w:tc>
        <w:tc>
          <w:tcPr>
            <w:tcW w:w="4556" w:type="dxa"/>
          </w:tcPr>
          <w:p w14:paraId="05BB0828" w14:textId="77777777" w:rsidR="00931414" w:rsidRPr="00004C80" w:rsidRDefault="00931414" w:rsidP="00630B2E">
            <w:pPr>
              <w:jc w:val="center"/>
              <w:rPr>
                <w:rFonts w:ascii="Bookman Old Style" w:hAnsi="Bookman Old Style"/>
                <w:szCs w:val="20"/>
              </w:rPr>
            </w:pPr>
          </w:p>
        </w:tc>
        <w:bookmarkStart w:id="0" w:name="_GoBack"/>
        <w:bookmarkEnd w:id="0"/>
      </w:tr>
      <w:tr w:rsidR="00931414" w:rsidRPr="00004C80" w14:paraId="49D035EF" w14:textId="77777777" w:rsidTr="00630B2E">
        <w:tc>
          <w:tcPr>
            <w:tcW w:w="4555" w:type="dxa"/>
          </w:tcPr>
          <w:p w14:paraId="4643F688" w14:textId="77777777" w:rsidR="00931414" w:rsidRPr="00004C80" w:rsidRDefault="00931414" w:rsidP="00630B2E">
            <w:pPr>
              <w:jc w:val="center"/>
              <w:rPr>
                <w:rFonts w:ascii="Bookman Old Style" w:hAnsi="Bookman Old Style"/>
                <w:szCs w:val="20"/>
              </w:rPr>
            </w:pPr>
          </w:p>
        </w:tc>
        <w:tc>
          <w:tcPr>
            <w:tcW w:w="4556" w:type="dxa"/>
          </w:tcPr>
          <w:p w14:paraId="3855ACBA" w14:textId="77777777" w:rsidR="00931414" w:rsidRPr="00004C80" w:rsidRDefault="00931414" w:rsidP="00630B2E">
            <w:pPr>
              <w:jc w:val="center"/>
              <w:rPr>
                <w:rFonts w:ascii="Bookman Old Style" w:hAnsi="Bookman Old Style"/>
                <w:szCs w:val="20"/>
              </w:rPr>
            </w:pPr>
          </w:p>
        </w:tc>
      </w:tr>
      <w:tr w:rsidR="00931414" w:rsidRPr="00004C80" w14:paraId="79998011" w14:textId="77777777" w:rsidTr="00630B2E">
        <w:tc>
          <w:tcPr>
            <w:tcW w:w="4555" w:type="dxa"/>
          </w:tcPr>
          <w:p w14:paraId="53B1EDE9" w14:textId="77777777" w:rsidR="00931414" w:rsidRPr="00004C80" w:rsidRDefault="00931414" w:rsidP="00630B2E">
            <w:pPr>
              <w:jc w:val="center"/>
              <w:rPr>
                <w:rFonts w:ascii="Bookman Old Style" w:hAnsi="Bookman Old Style"/>
                <w:szCs w:val="20"/>
              </w:rPr>
            </w:pPr>
          </w:p>
        </w:tc>
        <w:tc>
          <w:tcPr>
            <w:tcW w:w="4556" w:type="dxa"/>
          </w:tcPr>
          <w:p w14:paraId="6C00E68C" w14:textId="77777777" w:rsidR="00931414" w:rsidRPr="00004C80" w:rsidRDefault="00931414" w:rsidP="00630B2E">
            <w:pPr>
              <w:jc w:val="center"/>
              <w:rPr>
                <w:rFonts w:ascii="Bookman Old Style" w:hAnsi="Bookman Old Style"/>
                <w:szCs w:val="20"/>
              </w:rPr>
            </w:pPr>
          </w:p>
        </w:tc>
      </w:tr>
      <w:tr w:rsidR="00931414" w:rsidRPr="00004C80" w14:paraId="0405639F" w14:textId="77777777" w:rsidTr="00630B2E">
        <w:tc>
          <w:tcPr>
            <w:tcW w:w="4555" w:type="dxa"/>
          </w:tcPr>
          <w:p w14:paraId="0B833782" w14:textId="6E2A7BDB" w:rsidR="00931414" w:rsidRPr="00004C80" w:rsidRDefault="00931414" w:rsidP="00630B2E">
            <w:pPr>
              <w:jc w:val="center"/>
              <w:rPr>
                <w:rFonts w:ascii="Bookman Old Style" w:hAnsi="Bookman Old Style"/>
                <w:szCs w:val="20"/>
              </w:rPr>
            </w:pPr>
          </w:p>
        </w:tc>
        <w:tc>
          <w:tcPr>
            <w:tcW w:w="4556" w:type="dxa"/>
          </w:tcPr>
          <w:p w14:paraId="43F51A58" w14:textId="4B7F3521" w:rsidR="00EF53E5" w:rsidRPr="00004C80" w:rsidRDefault="00931414" w:rsidP="00EF53E5">
            <w:pPr>
              <w:jc w:val="center"/>
              <w:rPr>
                <w:rFonts w:ascii="Bookman Old Style" w:hAnsi="Bookman Old Style"/>
                <w:szCs w:val="20"/>
              </w:rPr>
            </w:pPr>
            <w:r>
              <w:rPr>
                <w:rFonts w:ascii="Bookman Old Style" w:hAnsi="Bookman Old Style"/>
                <w:szCs w:val="20"/>
              </w:rPr>
              <w:t xml:space="preserve">             </w:t>
            </w:r>
          </w:p>
          <w:p w14:paraId="2D006A93" w14:textId="286D0B2D" w:rsidR="00931414" w:rsidRPr="00004C80" w:rsidRDefault="00931414" w:rsidP="00630B2E">
            <w:pPr>
              <w:jc w:val="center"/>
              <w:rPr>
                <w:rFonts w:ascii="Bookman Old Style" w:hAnsi="Bookman Old Style"/>
                <w:szCs w:val="20"/>
              </w:rPr>
            </w:pPr>
          </w:p>
        </w:tc>
      </w:tr>
    </w:tbl>
    <w:p w14:paraId="5DCB728C" w14:textId="77777777" w:rsidR="00931414" w:rsidRDefault="00931414" w:rsidP="00931414"/>
    <w:p w14:paraId="197C0F88" w14:textId="77777777" w:rsidR="00BF74B7" w:rsidRDefault="00BF74B7"/>
    <w:sectPr w:rsidR="00BF74B7" w:rsidSect="00004C80">
      <w:headerReference w:type="default" r:id="rId8"/>
      <w:footerReference w:type="default" r:id="rId9"/>
      <w:pgSz w:w="12240" w:h="20160" w:code="5"/>
      <w:pgMar w:top="1701" w:right="1247" w:bottom="1701" w:left="1418"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9D5BB" w14:textId="77777777" w:rsidR="003D6417" w:rsidRDefault="003D6417" w:rsidP="00931414">
      <w:r>
        <w:separator/>
      </w:r>
    </w:p>
  </w:endnote>
  <w:endnote w:type="continuationSeparator" w:id="0">
    <w:p w14:paraId="3E34498E" w14:textId="77777777" w:rsidR="003D6417" w:rsidRDefault="003D6417" w:rsidP="0093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430844"/>
      <w:docPartObj>
        <w:docPartGallery w:val="Page Numbers (Bottom of Page)"/>
        <w:docPartUnique/>
      </w:docPartObj>
    </w:sdtPr>
    <w:sdtEndPr/>
    <w:sdtContent>
      <w:p w14:paraId="22DD9660" w14:textId="42E97184" w:rsidR="00882576" w:rsidRDefault="004654C8">
        <w:pPr>
          <w:pStyle w:val="Piedepgina"/>
          <w:jc w:val="right"/>
        </w:pPr>
        <w:r>
          <w:fldChar w:fldCharType="begin"/>
        </w:r>
        <w:r>
          <w:instrText>PAGE   \* MERGEFORMAT</w:instrText>
        </w:r>
        <w:r>
          <w:fldChar w:fldCharType="separate"/>
        </w:r>
        <w:r w:rsidR="00EF53E5" w:rsidRPr="00EF53E5">
          <w:rPr>
            <w:noProof/>
            <w:lang w:val="es-ES"/>
          </w:rPr>
          <w:t>3</w:t>
        </w:r>
        <w:r>
          <w:fldChar w:fldCharType="end"/>
        </w:r>
      </w:p>
    </w:sdtContent>
  </w:sdt>
  <w:p w14:paraId="29DE9BC5" w14:textId="77777777" w:rsidR="00882576" w:rsidRDefault="0088257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C9473" w14:textId="77777777" w:rsidR="003D6417" w:rsidRDefault="003D6417" w:rsidP="00931414">
      <w:r>
        <w:separator/>
      </w:r>
    </w:p>
  </w:footnote>
  <w:footnote w:type="continuationSeparator" w:id="0">
    <w:p w14:paraId="1D84A0B1" w14:textId="77777777" w:rsidR="003D6417" w:rsidRDefault="003D6417" w:rsidP="009314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ABF0" w14:textId="3C91349F" w:rsidR="00882576" w:rsidRDefault="00D6647A" w:rsidP="00D12B71">
    <w:pPr>
      <w:pStyle w:val="Encabezado"/>
      <w:tabs>
        <w:tab w:val="clear" w:pos="8504"/>
      </w:tabs>
      <w:jc w:val="center"/>
      <w:rPr>
        <w:b/>
        <w:bCs/>
        <w:sz w:val="28"/>
        <w:szCs w:val="28"/>
      </w:rPr>
    </w:pPr>
    <w:r>
      <w:rPr>
        <w:b/>
        <w:bCs/>
        <w:noProof/>
        <w:sz w:val="28"/>
        <w:szCs w:val="28"/>
        <w:lang w:eastAsia="es-BO"/>
      </w:rPr>
      <w:drawing>
        <wp:anchor distT="0" distB="0" distL="114300" distR="114300" simplePos="0" relativeHeight="251660288" behindDoc="0" locked="0" layoutInCell="1" allowOverlap="1" wp14:anchorId="1F7E6CB7" wp14:editId="2F6498BF">
          <wp:simplePos x="0" y="0"/>
          <wp:positionH relativeFrom="page">
            <wp:posOffset>6341533</wp:posOffset>
          </wp:positionH>
          <wp:positionV relativeFrom="paragraph">
            <wp:posOffset>-318347</wp:posOffset>
          </wp:positionV>
          <wp:extent cx="670560" cy="835660"/>
          <wp:effectExtent l="0" t="0" r="0" b="254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64" cy="841273"/>
                  </a:xfrm>
                  <a:prstGeom prst="rect">
                    <a:avLst/>
                  </a:prstGeom>
                  <a:noFill/>
                  <a:ln>
                    <a:noFill/>
                  </a:ln>
                </pic:spPr>
              </pic:pic>
            </a:graphicData>
          </a:graphic>
          <wp14:sizeRelH relativeFrom="page">
            <wp14:pctWidth>0</wp14:pctWidth>
          </wp14:sizeRelH>
          <wp14:sizeRelV relativeFrom="page">
            <wp14:pctHeight>0</wp14:pctHeight>
          </wp14:sizeRelV>
        </wp:anchor>
      </w:drawing>
    </w:r>
    <w:r w:rsidR="00D12B71" w:rsidRPr="006A486C">
      <w:rPr>
        <w:b/>
        <w:bCs/>
        <w:noProof/>
        <w:lang w:eastAsia="es-BO"/>
      </w:rPr>
      <w:drawing>
        <wp:anchor distT="0" distB="0" distL="114300" distR="114300" simplePos="0" relativeHeight="251659264" behindDoc="0" locked="0" layoutInCell="1" allowOverlap="1" wp14:anchorId="152EEBB5" wp14:editId="220407AF">
          <wp:simplePos x="0" y="0"/>
          <wp:positionH relativeFrom="column">
            <wp:posOffset>-41910</wp:posOffset>
          </wp:positionH>
          <wp:positionV relativeFrom="paragraph">
            <wp:posOffset>-144780</wp:posOffset>
          </wp:positionV>
          <wp:extent cx="650240" cy="675640"/>
          <wp:effectExtent l="0" t="0" r="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0240" cy="675640"/>
                  </a:xfrm>
                  <a:prstGeom prst="rect">
                    <a:avLst/>
                  </a:prstGeom>
                  <a:noFill/>
                </pic:spPr>
              </pic:pic>
            </a:graphicData>
          </a:graphic>
          <wp14:sizeRelH relativeFrom="page">
            <wp14:pctWidth>0</wp14:pctWidth>
          </wp14:sizeRelH>
          <wp14:sizeRelV relativeFrom="page">
            <wp14:pctHeight>0</wp14:pctHeight>
          </wp14:sizeRelV>
        </wp:anchor>
      </w:drawing>
    </w:r>
    <w:r w:rsidR="00931414">
      <w:rPr>
        <w:b/>
        <w:bCs/>
        <w:sz w:val="28"/>
        <w:szCs w:val="28"/>
      </w:rPr>
      <w:t>X</w:t>
    </w:r>
    <w:r w:rsidR="004654C8" w:rsidRPr="006A486C">
      <w:rPr>
        <w:b/>
        <w:bCs/>
        <w:sz w:val="28"/>
        <w:szCs w:val="28"/>
      </w:rPr>
      <w:t xml:space="preserve"> </w:t>
    </w:r>
    <w:r w:rsidR="004654C8">
      <w:rPr>
        <w:b/>
        <w:bCs/>
        <w:sz w:val="28"/>
        <w:szCs w:val="28"/>
      </w:rPr>
      <w:t>RENADI</w:t>
    </w:r>
  </w:p>
  <w:p w14:paraId="4F99DA12" w14:textId="1F82CF62" w:rsidR="00882576" w:rsidRDefault="004654C8" w:rsidP="00D12B71">
    <w:pPr>
      <w:pStyle w:val="Encabezado"/>
      <w:pBdr>
        <w:bottom w:val="single" w:sz="6" w:space="1" w:color="auto"/>
      </w:pBdr>
      <w:tabs>
        <w:tab w:val="clear" w:pos="4252"/>
        <w:tab w:val="clear" w:pos="8504"/>
      </w:tabs>
      <w:jc w:val="center"/>
      <w:rPr>
        <w:sz w:val="22"/>
        <w:szCs w:val="22"/>
      </w:rPr>
    </w:pPr>
    <w:r>
      <w:rPr>
        <w:sz w:val="22"/>
        <w:szCs w:val="22"/>
      </w:rPr>
      <w:t>Sucre, 28</w:t>
    </w:r>
    <w:r w:rsidR="00931414">
      <w:rPr>
        <w:sz w:val="22"/>
        <w:szCs w:val="22"/>
      </w:rPr>
      <w:t xml:space="preserve"> al 30</w:t>
    </w:r>
    <w:r>
      <w:rPr>
        <w:sz w:val="22"/>
        <w:szCs w:val="22"/>
      </w:rPr>
      <w:t xml:space="preserve"> de </w:t>
    </w:r>
    <w:r w:rsidR="00931414">
      <w:rPr>
        <w:sz w:val="22"/>
        <w:szCs w:val="22"/>
      </w:rPr>
      <w:t>abril</w:t>
    </w:r>
    <w:r>
      <w:rPr>
        <w:sz w:val="22"/>
        <w:szCs w:val="22"/>
      </w:rPr>
      <w:t xml:space="preserve"> de 202</w:t>
    </w:r>
    <w:r w:rsidR="00931414">
      <w:rPr>
        <w:sz w:val="22"/>
        <w:szCs w:val="22"/>
      </w:rPr>
      <w:t>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34FF5"/>
    <w:multiLevelType w:val="hybridMultilevel"/>
    <w:tmpl w:val="76925E1A"/>
    <w:lvl w:ilvl="0" w:tplc="DBA83FB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7375E57"/>
    <w:multiLevelType w:val="hybridMultilevel"/>
    <w:tmpl w:val="D47A096C"/>
    <w:lvl w:ilvl="0" w:tplc="DBA83FB2">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64F85143"/>
    <w:multiLevelType w:val="hybridMultilevel"/>
    <w:tmpl w:val="7C68FDB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414"/>
    <w:rsid w:val="000013BC"/>
    <w:rsid w:val="00001EF8"/>
    <w:rsid w:val="000A1E23"/>
    <w:rsid w:val="000E2FEA"/>
    <w:rsid w:val="00111482"/>
    <w:rsid w:val="001126F4"/>
    <w:rsid w:val="00113F62"/>
    <w:rsid w:val="00117B9A"/>
    <w:rsid w:val="001533D8"/>
    <w:rsid w:val="001569A7"/>
    <w:rsid w:val="0018283F"/>
    <w:rsid w:val="001A1B9E"/>
    <w:rsid w:val="001D62DB"/>
    <w:rsid w:val="001E2CF0"/>
    <w:rsid w:val="001F717B"/>
    <w:rsid w:val="0022666D"/>
    <w:rsid w:val="002548A0"/>
    <w:rsid w:val="00277E76"/>
    <w:rsid w:val="002B3265"/>
    <w:rsid w:val="002B58DF"/>
    <w:rsid w:val="002B7D25"/>
    <w:rsid w:val="002C4930"/>
    <w:rsid w:val="002D04B0"/>
    <w:rsid w:val="00301BAD"/>
    <w:rsid w:val="00305C69"/>
    <w:rsid w:val="00333ADC"/>
    <w:rsid w:val="0036797C"/>
    <w:rsid w:val="003A3429"/>
    <w:rsid w:val="003C3FAF"/>
    <w:rsid w:val="003D6417"/>
    <w:rsid w:val="004163D9"/>
    <w:rsid w:val="00444DEF"/>
    <w:rsid w:val="004654C8"/>
    <w:rsid w:val="00483878"/>
    <w:rsid w:val="004F25B6"/>
    <w:rsid w:val="00545111"/>
    <w:rsid w:val="00560720"/>
    <w:rsid w:val="005615D5"/>
    <w:rsid w:val="005731FB"/>
    <w:rsid w:val="005854EF"/>
    <w:rsid w:val="00597DDE"/>
    <w:rsid w:val="00637FAA"/>
    <w:rsid w:val="00653005"/>
    <w:rsid w:val="00656302"/>
    <w:rsid w:val="006752AD"/>
    <w:rsid w:val="006937E4"/>
    <w:rsid w:val="006E18C3"/>
    <w:rsid w:val="006E63B9"/>
    <w:rsid w:val="00714279"/>
    <w:rsid w:val="00774579"/>
    <w:rsid w:val="00776428"/>
    <w:rsid w:val="0077760F"/>
    <w:rsid w:val="007C3903"/>
    <w:rsid w:val="007C6FCF"/>
    <w:rsid w:val="007D5006"/>
    <w:rsid w:val="008154BB"/>
    <w:rsid w:val="008166E0"/>
    <w:rsid w:val="00842184"/>
    <w:rsid w:val="00867949"/>
    <w:rsid w:val="00876D02"/>
    <w:rsid w:val="00882576"/>
    <w:rsid w:val="008B522E"/>
    <w:rsid w:val="008E1B5F"/>
    <w:rsid w:val="008F7CA1"/>
    <w:rsid w:val="00903396"/>
    <w:rsid w:val="00907AC8"/>
    <w:rsid w:val="00931414"/>
    <w:rsid w:val="009465CE"/>
    <w:rsid w:val="00963F3D"/>
    <w:rsid w:val="00995083"/>
    <w:rsid w:val="00996578"/>
    <w:rsid w:val="009C18C4"/>
    <w:rsid w:val="009E7E39"/>
    <w:rsid w:val="009F7DF3"/>
    <w:rsid w:val="00A05B7E"/>
    <w:rsid w:val="00A05DE7"/>
    <w:rsid w:val="00A1217D"/>
    <w:rsid w:val="00A24E1B"/>
    <w:rsid w:val="00A3354C"/>
    <w:rsid w:val="00A3711D"/>
    <w:rsid w:val="00A56F6A"/>
    <w:rsid w:val="00AA4E90"/>
    <w:rsid w:val="00AB579F"/>
    <w:rsid w:val="00AB618F"/>
    <w:rsid w:val="00AC26D9"/>
    <w:rsid w:val="00AF06DE"/>
    <w:rsid w:val="00AF1885"/>
    <w:rsid w:val="00B21729"/>
    <w:rsid w:val="00B64403"/>
    <w:rsid w:val="00BC3612"/>
    <w:rsid w:val="00BF74B7"/>
    <w:rsid w:val="00C20ECC"/>
    <w:rsid w:val="00C23EE7"/>
    <w:rsid w:val="00C41460"/>
    <w:rsid w:val="00C7510D"/>
    <w:rsid w:val="00C92ECC"/>
    <w:rsid w:val="00C9749C"/>
    <w:rsid w:val="00CA341B"/>
    <w:rsid w:val="00CA6F88"/>
    <w:rsid w:val="00D0523F"/>
    <w:rsid w:val="00D12B71"/>
    <w:rsid w:val="00D61759"/>
    <w:rsid w:val="00D6647A"/>
    <w:rsid w:val="00D812C3"/>
    <w:rsid w:val="00DA39E2"/>
    <w:rsid w:val="00DE16AF"/>
    <w:rsid w:val="00E0600F"/>
    <w:rsid w:val="00E07DD9"/>
    <w:rsid w:val="00E84AC2"/>
    <w:rsid w:val="00E92356"/>
    <w:rsid w:val="00E9254E"/>
    <w:rsid w:val="00ED446E"/>
    <w:rsid w:val="00EF53E5"/>
    <w:rsid w:val="00F6583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0A9C"/>
  <w15:chartTrackingRefBased/>
  <w15:docId w15:val="{205E63BD-1DCC-4037-892D-0F66934D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414"/>
    <w:pPr>
      <w:spacing w:after="0" w:line="240" w:lineRule="auto"/>
    </w:pPr>
    <w:rPr>
      <w:rFonts w:ascii="Verdana" w:hAnsi="Verdana" w:cs="Times New Roman"/>
      <w:sz w:val="2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1414"/>
    <w:pPr>
      <w:tabs>
        <w:tab w:val="center" w:pos="4252"/>
        <w:tab w:val="right" w:pos="8504"/>
      </w:tabs>
    </w:pPr>
  </w:style>
  <w:style w:type="character" w:customStyle="1" w:styleId="EncabezadoCar">
    <w:name w:val="Encabezado Car"/>
    <w:basedOn w:val="Fuentedeprrafopredeter"/>
    <w:link w:val="Encabezado"/>
    <w:uiPriority w:val="99"/>
    <w:rsid w:val="00931414"/>
    <w:rPr>
      <w:rFonts w:ascii="Verdana" w:hAnsi="Verdana" w:cs="Times New Roman"/>
      <w:sz w:val="20"/>
      <w:szCs w:val="24"/>
    </w:rPr>
  </w:style>
  <w:style w:type="paragraph" w:styleId="Piedepgina">
    <w:name w:val="footer"/>
    <w:basedOn w:val="Normal"/>
    <w:link w:val="PiedepginaCar"/>
    <w:uiPriority w:val="99"/>
    <w:unhideWhenUsed/>
    <w:rsid w:val="00931414"/>
    <w:pPr>
      <w:tabs>
        <w:tab w:val="center" w:pos="4252"/>
        <w:tab w:val="right" w:pos="8504"/>
      </w:tabs>
    </w:pPr>
  </w:style>
  <w:style w:type="character" w:customStyle="1" w:styleId="PiedepginaCar">
    <w:name w:val="Pie de página Car"/>
    <w:basedOn w:val="Fuentedeprrafopredeter"/>
    <w:link w:val="Piedepgina"/>
    <w:uiPriority w:val="99"/>
    <w:rsid w:val="00931414"/>
    <w:rPr>
      <w:rFonts w:ascii="Verdana" w:hAnsi="Verdana" w:cs="Times New Roman"/>
      <w:sz w:val="20"/>
      <w:szCs w:val="24"/>
    </w:rPr>
  </w:style>
  <w:style w:type="table" w:styleId="Tablaconcuadrcula">
    <w:name w:val="Table Grid"/>
    <w:basedOn w:val="Tablanormal"/>
    <w:uiPriority w:val="39"/>
    <w:rsid w:val="00931414"/>
    <w:pPr>
      <w:spacing w:after="0" w:line="240" w:lineRule="auto"/>
    </w:pPr>
    <w:rPr>
      <w:rFonts w:ascii="Verdana" w:hAnsi="Verdana"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77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B2B96-382F-4E83-A371-61C85D52E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1469</Words>
  <Characters>8081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Daza</dc:creator>
  <cp:keywords/>
  <dc:description/>
  <cp:lastModifiedBy>CEUB-SUB</cp:lastModifiedBy>
  <cp:revision>3</cp:revision>
  <dcterms:created xsi:type="dcterms:W3CDTF">2025-06-05T16:19:00Z</dcterms:created>
  <dcterms:modified xsi:type="dcterms:W3CDTF">2025-06-17T13:30:00Z</dcterms:modified>
</cp:coreProperties>
</file>